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9540C" w14:textId="77777777" w:rsidR="00922222" w:rsidRPr="00CC3F30" w:rsidRDefault="00922222" w:rsidP="00DA2B40">
      <w:pPr>
        <w:spacing w:after="120" w:line="276" w:lineRule="auto"/>
        <w:rPr>
          <w:rFonts w:cs="Arial"/>
        </w:rPr>
      </w:pPr>
    </w:p>
    <w:p w14:paraId="74C1CF79" w14:textId="77777777" w:rsidR="00604F43" w:rsidRPr="00CC3F30" w:rsidRDefault="00604F43" w:rsidP="00DA2B40">
      <w:pPr>
        <w:spacing w:after="120" w:line="276" w:lineRule="auto"/>
        <w:rPr>
          <w:rFonts w:cs="Arial"/>
        </w:rPr>
      </w:pPr>
    </w:p>
    <w:p w14:paraId="16A1839D" w14:textId="77777777" w:rsidR="00F66E00" w:rsidRPr="00CC3F30" w:rsidRDefault="00F66E00" w:rsidP="00DA2B40">
      <w:pPr>
        <w:spacing w:after="120" w:line="276" w:lineRule="auto"/>
        <w:rPr>
          <w:rFonts w:cs="Arial"/>
        </w:rPr>
      </w:pPr>
    </w:p>
    <w:p w14:paraId="1943CB0E" w14:textId="77777777" w:rsidR="00F66E00" w:rsidRPr="00CC3F30" w:rsidRDefault="00F66E00" w:rsidP="00DA2B40">
      <w:pPr>
        <w:spacing w:after="120" w:line="276" w:lineRule="auto"/>
        <w:rPr>
          <w:rFonts w:cs="Arial"/>
        </w:rPr>
      </w:pPr>
    </w:p>
    <w:p w14:paraId="7C060C69" w14:textId="77777777" w:rsidR="00F66E00" w:rsidRPr="00CC3F30" w:rsidRDefault="00F66E00" w:rsidP="00DA2B40">
      <w:pPr>
        <w:spacing w:after="120" w:line="276" w:lineRule="auto"/>
        <w:rPr>
          <w:rFonts w:cs="Arial"/>
        </w:rPr>
      </w:pPr>
    </w:p>
    <w:p w14:paraId="01A0FC04" w14:textId="77777777" w:rsidR="00F66E00" w:rsidRDefault="00F66E00" w:rsidP="00DA2B40">
      <w:pPr>
        <w:spacing w:after="120" w:line="276" w:lineRule="auto"/>
        <w:rPr>
          <w:rFonts w:cs="Arial"/>
        </w:rPr>
      </w:pPr>
    </w:p>
    <w:p w14:paraId="387EBBAD" w14:textId="77777777" w:rsidR="00435FF4" w:rsidRDefault="00435FF4" w:rsidP="00DA2B40">
      <w:pPr>
        <w:spacing w:after="120" w:line="276" w:lineRule="auto"/>
        <w:rPr>
          <w:rFonts w:cs="Arial"/>
        </w:rPr>
      </w:pPr>
    </w:p>
    <w:p w14:paraId="7D4EDC46" w14:textId="77777777" w:rsidR="00DF1547" w:rsidRDefault="00DF1547" w:rsidP="00DA2B40">
      <w:pPr>
        <w:spacing w:after="120" w:line="276" w:lineRule="auto"/>
        <w:rPr>
          <w:rFonts w:cs="Arial"/>
        </w:rPr>
      </w:pPr>
    </w:p>
    <w:p w14:paraId="2C016B30" w14:textId="77777777" w:rsidR="00DF1547" w:rsidRPr="00CC3F30" w:rsidRDefault="00DF1547" w:rsidP="00DA2B40">
      <w:pPr>
        <w:spacing w:after="120" w:line="276" w:lineRule="auto"/>
        <w:rPr>
          <w:rFonts w:cs="Arial"/>
        </w:rPr>
      </w:pPr>
    </w:p>
    <w:p w14:paraId="0FE3FB70" w14:textId="77777777" w:rsidR="00F66E00" w:rsidRPr="00CC3F30" w:rsidRDefault="00F66E00" w:rsidP="00DA2B40">
      <w:pPr>
        <w:spacing w:after="120" w:line="276" w:lineRule="auto"/>
        <w:rPr>
          <w:rFonts w:cs="Arial"/>
        </w:rPr>
      </w:pPr>
    </w:p>
    <w:p w14:paraId="0B354956" w14:textId="6CA5B805" w:rsidR="002815BD" w:rsidRDefault="00604F43" w:rsidP="4E9C648C">
      <w:pPr>
        <w:spacing w:after="120" w:line="276" w:lineRule="auto"/>
        <w:jc w:val="center"/>
        <w:rPr>
          <w:rFonts w:cs="Arial"/>
          <w:b/>
          <w:bCs/>
          <w:sz w:val="28"/>
          <w:szCs w:val="28"/>
        </w:rPr>
      </w:pPr>
      <w:r w:rsidRPr="00BE11B4">
        <w:rPr>
          <w:rFonts w:cs="Arial"/>
          <w:b/>
          <w:bCs/>
          <w:sz w:val="28"/>
          <w:szCs w:val="28"/>
        </w:rPr>
        <w:t xml:space="preserve">Poziv </w:t>
      </w:r>
      <w:r w:rsidR="00437B21" w:rsidRPr="00BE11B4">
        <w:rPr>
          <w:rFonts w:cs="Arial"/>
          <w:b/>
          <w:bCs/>
          <w:sz w:val="28"/>
          <w:szCs w:val="28"/>
        </w:rPr>
        <w:t xml:space="preserve">za </w:t>
      </w:r>
      <w:r w:rsidR="003C4743" w:rsidRPr="00BE11B4">
        <w:rPr>
          <w:rFonts w:cs="Arial"/>
          <w:b/>
          <w:bCs/>
          <w:sz w:val="28"/>
          <w:szCs w:val="28"/>
        </w:rPr>
        <w:t xml:space="preserve">odabir </w:t>
      </w:r>
      <w:r w:rsidR="00951211">
        <w:rPr>
          <w:rFonts w:cs="Arial"/>
          <w:b/>
          <w:bCs/>
          <w:sz w:val="28"/>
          <w:szCs w:val="28"/>
        </w:rPr>
        <w:t>financijskih posrednika</w:t>
      </w:r>
    </w:p>
    <w:p w14:paraId="276F7386" w14:textId="77777777" w:rsidR="002815BD" w:rsidRPr="00CC3F30" w:rsidRDefault="002815BD" w:rsidP="00DA2B40">
      <w:pPr>
        <w:spacing w:after="120" w:line="276" w:lineRule="auto"/>
        <w:jc w:val="center"/>
        <w:rPr>
          <w:rFonts w:cs="Arial"/>
        </w:rPr>
      </w:pPr>
    </w:p>
    <w:p w14:paraId="055F63D4" w14:textId="77777777" w:rsidR="00EB57A4" w:rsidRDefault="00EB57A4" w:rsidP="00DA2B40">
      <w:pPr>
        <w:spacing w:after="120" w:line="276" w:lineRule="auto"/>
        <w:jc w:val="center"/>
        <w:rPr>
          <w:rFonts w:cs="Arial"/>
        </w:rPr>
      </w:pPr>
    </w:p>
    <w:p w14:paraId="1704A52B" w14:textId="77777777" w:rsidR="00EB57A4" w:rsidRDefault="00EB57A4" w:rsidP="00DA2B40">
      <w:pPr>
        <w:spacing w:after="120" w:line="276" w:lineRule="auto"/>
        <w:jc w:val="center"/>
        <w:rPr>
          <w:rFonts w:cs="Arial"/>
        </w:rPr>
      </w:pPr>
    </w:p>
    <w:p w14:paraId="633EB729" w14:textId="77777777" w:rsidR="00EB57A4" w:rsidRDefault="00EB57A4" w:rsidP="00DA2B40">
      <w:pPr>
        <w:spacing w:after="120" w:line="276" w:lineRule="auto"/>
        <w:jc w:val="center"/>
        <w:rPr>
          <w:rFonts w:cs="Arial"/>
        </w:rPr>
      </w:pPr>
    </w:p>
    <w:p w14:paraId="04F0D4EA" w14:textId="77777777" w:rsidR="00EB57A4" w:rsidRDefault="00EB57A4" w:rsidP="00DA2B40">
      <w:pPr>
        <w:spacing w:after="120" w:line="276" w:lineRule="auto"/>
        <w:jc w:val="center"/>
        <w:rPr>
          <w:rFonts w:cs="Arial"/>
        </w:rPr>
      </w:pPr>
    </w:p>
    <w:p w14:paraId="69E1A919" w14:textId="77777777" w:rsidR="00EB57A4" w:rsidRDefault="00EB57A4" w:rsidP="00DA2B40">
      <w:pPr>
        <w:spacing w:after="120" w:line="276" w:lineRule="auto"/>
        <w:jc w:val="center"/>
        <w:rPr>
          <w:rFonts w:cs="Arial"/>
        </w:rPr>
      </w:pPr>
    </w:p>
    <w:p w14:paraId="3EEA1CA8" w14:textId="77777777" w:rsidR="00EB57A4" w:rsidRDefault="00EB57A4" w:rsidP="00DA2B40">
      <w:pPr>
        <w:spacing w:after="120" w:line="276" w:lineRule="auto"/>
        <w:jc w:val="center"/>
        <w:rPr>
          <w:rFonts w:cs="Arial"/>
        </w:rPr>
      </w:pPr>
    </w:p>
    <w:p w14:paraId="3F6F4EE3" w14:textId="77777777" w:rsidR="00EB57A4" w:rsidRDefault="00EB57A4" w:rsidP="00DA2B40">
      <w:pPr>
        <w:spacing w:after="120" w:line="276" w:lineRule="auto"/>
        <w:jc w:val="center"/>
        <w:rPr>
          <w:rFonts w:cs="Arial"/>
        </w:rPr>
      </w:pPr>
    </w:p>
    <w:p w14:paraId="1E551744" w14:textId="77777777" w:rsidR="00EB57A4" w:rsidRDefault="00EB57A4" w:rsidP="00DA2B40">
      <w:pPr>
        <w:spacing w:after="120" w:line="276" w:lineRule="auto"/>
        <w:jc w:val="center"/>
        <w:rPr>
          <w:rFonts w:cs="Arial"/>
        </w:rPr>
      </w:pPr>
    </w:p>
    <w:p w14:paraId="284AE83E" w14:textId="77777777" w:rsidR="00EB57A4" w:rsidRDefault="00EB57A4" w:rsidP="00DA2B40">
      <w:pPr>
        <w:spacing w:after="120" w:line="276" w:lineRule="auto"/>
        <w:jc w:val="center"/>
        <w:rPr>
          <w:rFonts w:cs="Arial"/>
        </w:rPr>
      </w:pPr>
    </w:p>
    <w:p w14:paraId="3ECD748D" w14:textId="77777777" w:rsidR="00EB57A4" w:rsidRDefault="00EB57A4" w:rsidP="00DA2B40">
      <w:pPr>
        <w:spacing w:after="120" w:line="276" w:lineRule="auto"/>
        <w:jc w:val="center"/>
        <w:rPr>
          <w:rFonts w:cs="Arial"/>
        </w:rPr>
      </w:pPr>
    </w:p>
    <w:p w14:paraId="06611326" w14:textId="77777777" w:rsidR="00EB57A4" w:rsidRDefault="00EB57A4" w:rsidP="00DA2B40">
      <w:pPr>
        <w:spacing w:after="120" w:line="276" w:lineRule="auto"/>
        <w:jc w:val="center"/>
        <w:rPr>
          <w:rFonts w:cs="Arial"/>
        </w:rPr>
      </w:pPr>
    </w:p>
    <w:p w14:paraId="0411C11C" w14:textId="77777777" w:rsidR="00225FE4" w:rsidRDefault="00225FE4" w:rsidP="00DA2B40">
      <w:pPr>
        <w:spacing w:after="120" w:line="276" w:lineRule="auto"/>
        <w:jc w:val="center"/>
        <w:rPr>
          <w:rFonts w:cs="Arial"/>
        </w:rPr>
      </w:pPr>
    </w:p>
    <w:p w14:paraId="3E8C2DCA" w14:textId="77777777" w:rsidR="00225FE4" w:rsidRDefault="00225FE4" w:rsidP="00DA2B40">
      <w:pPr>
        <w:spacing w:after="120" w:line="276" w:lineRule="auto"/>
        <w:jc w:val="center"/>
        <w:rPr>
          <w:rFonts w:cs="Arial"/>
        </w:rPr>
      </w:pPr>
    </w:p>
    <w:p w14:paraId="09B69602" w14:textId="77777777" w:rsidR="00225FE4" w:rsidRDefault="00225FE4" w:rsidP="00DA2B40">
      <w:pPr>
        <w:spacing w:after="120" w:line="276" w:lineRule="auto"/>
        <w:jc w:val="center"/>
        <w:rPr>
          <w:rFonts w:cs="Arial"/>
        </w:rPr>
      </w:pPr>
    </w:p>
    <w:p w14:paraId="3A582A1A" w14:textId="77777777" w:rsidR="00225FE4" w:rsidRDefault="00225FE4" w:rsidP="00DA2B40">
      <w:pPr>
        <w:spacing w:after="120" w:line="276" w:lineRule="auto"/>
        <w:jc w:val="center"/>
        <w:rPr>
          <w:rFonts w:cs="Arial"/>
        </w:rPr>
      </w:pPr>
    </w:p>
    <w:p w14:paraId="3AEA2831" w14:textId="77777777" w:rsidR="00EB57A4" w:rsidRDefault="00EB57A4" w:rsidP="00DA2B40">
      <w:pPr>
        <w:spacing w:after="120" w:line="276" w:lineRule="auto"/>
        <w:jc w:val="center"/>
        <w:rPr>
          <w:rFonts w:cs="Arial"/>
        </w:rPr>
      </w:pPr>
    </w:p>
    <w:p w14:paraId="0C3E8A48" w14:textId="77777777" w:rsidR="006939B7" w:rsidRDefault="006939B7" w:rsidP="00DA2B40">
      <w:pPr>
        <w:spacing w:after="120" w:line="276" w:lineRule="auto"/>
        <w:jc w:val="center"/>
        <w:rPr>
          <w:rFonts w:cs="Arial"/>
        </w:rPr>
      </w:pPr>
    </w:p>
    <w:p w14:paraId="2CD64B6F" w14:textId="77777777" w:rsidR="006939B7" w:rsidRDefault="006939B7" w:rsidP="00DA2B40">
      <w:pPr>
        <w:spacing w:after="120" w:line="276" w:lineRule="auto"/>
        <w:jc w:val="center"/>
        <w:rPr>
          <w:rFonts w:cs="Arial"/>
        </w:rPr>
      </w:pPr>
    </w:p>
    <w:p w14:paraId="1EECC5E7" w14:textId="77777777" w:rsidR="00EB57A4" w:rsidRDefault="00EB57A4" w:rsidP="00DA2B40">
      <w:pPr>
        <w:spacing w:after="120" w:line="276" w:lineRule="auto"/>
        <w:jc w:val="center"/>
        <w:rPr>
          <w:rFonts w:cs="Arial"/>
        </w:rPr>
      </w:pPr>
    </w:p>
    <w:p w14:paraId="152525F0" w14:textId="77777777" w:rsidR="00EB57A4" w:rsidRPr="00164506" w:rsidRDefault="00EB57A4" w:rsidP="00DA2B40">
      <w:pPr>
        <w:spacing w:after="120" w:line="276" w:lineRule="auto"/>
        <w:jc w:val="center"/>
        <w:rPr>
          <w:rFonts w:cs="Arial"/>
        </w:rPr>
      </w:pPr>
    </w:p>
    <w:p w14:paraId="2B180700" w14:textId="62CB036F" w:rsidR="002815BD" w:rsidRPr="00CC3F30" w:rsidRDefault="002815BD" w:rsidP="00DA2B40">
      <w:pPr>
        <w:spacing w:after="120" w:line="276" w:lineRule="auto"/>
        <w:jc w:val="center"/>
        <w:rPr>
          <w:rFonts w:cs="Arial"/>
        </w:rPr>
      </w:pPr>
      <w:r w:rsidRPr="00CC3F30">
        <w:rPr>
          <w:rFonts w:cs="Arial"/>
        </w:rPr>
        <w:t xml:space="preserve">Zagreb, </w:t>
      </w:r>
      <w:r w:rsidR="00C03E2A">
        <w:rPr>
          <w:rFonts w:cs="Arial"/>
        </w:rPr>
        <w:t>ožujak</w:t>
      </w:r>
      <w:r w:rsidR="006849EE">
        <w:rPr>
          <w:rFonts w:cs="Arial"/>
        </w:rPr>
        <w:t xml:space="preserve"> 202</w:t>
      </w:r>
      <w:r w:rsidR="00C03E2A">
        <w:rPr>
          <w:rFonts w:cs="Arial"/>
        </w:rPr>
        <w:t>5</w:t>
      </w:r>
      <w:r w:rsidR="006849EE">
        <w:rPr>
          <w:rFonts w:cs="Arial"/>
        </w:rPr>
        <w:t>.</w:t>
      </w:r>
    </w:p>
    <w:p w14:paraId="4002CB26" w14:textId="77777777" w:rsidR="00E543DE" w:rsidRDefault="00E543DE" w:rsidP="00E543DE">
      <w:pPr>
        <w:rPr>
          <w:rFonts w:cs="Arial"/>
          <w:sz w:val="22"/>
        </w:rPr>
      </w:pPr>
    </w:p>
    <w:p w14:paraId="51FC93BE" w14:textId="77777777" w:rsidR="00E01C4E" w:rsidRPr="00164506" w:rsidRDefault="00E01C4E" w:rsidP="00E543DE">
      <w:pPr>
        <w:rPr>
          <w:rFonts w:cs="Arial"/>
          <w:sz w:val="22"/>
        </w:rPr>
      </w:pPr>
    </w:p>
    <w:p w14:paraId="033F52B3" w14:textId="77777777" w:rsidR="00EB57A4" w:rsidRDefault="00EB57A4" w:rsidP="00E543DE">
      <w:pPr>
        <w:pStyle w:val="Naslov1"/>
        <w:spacing w:after="120" w:line="276" w:lineRule="auto"/>
        <w:rPr>
          <w:rFonts w:cs="Arial"/>
          <w:sz w:val="22"/>
        </w:rPr>
        <w:sectPr w:rsidR="00EB57A4" w:rsidSect="00B241B0">
          <w:headerReference w:type="default" r:id="rId11"/>
          <w:footerReference w:type="default" r:id="rId12"/>
          <w:headerReference w:type="first" r:id="rId13"/>
          <w:footerReference w:type="first" r:id="rId14"/>
          <w:pgSz w:w="11907" w:h="16840" w:code="9"/>
          <w:pgMar w:top="1440" w:right="1080" w:bottom="1440" w:left="1080" w:header="709" w:footer="567" w:gutter="0"/>
          <w:cols w:space="708"/>
          <w:docGrid w:linePitch="360"/>
        </w:sectPr>
      </w:pPr>
    </w:p>
    <w:p w14:paraId="16058406" w14:textId="77777777" w:rsidR="00E543DE" w:rsidRPr="00E543DE" w:rsidRDefault="00E543DE" w:rsidP="00E543DE">
      <w:pPr>
        <w:pStyle w:val="Naslov1"/>
        <w:spacing w:after="120" w:line="276" w:lineRule="auto"/>
        <w:rPr>
          <w:rFonts w:cs="Arial"/>
          <w:sz w:val="22"/>
        </w:rPr>
      </w:pPr>
      <w:bookmarkStart w:id="0" w:name="_Toc193374160"/>
      <w:r w:rsidRPr="00E543DE">
        <w:rPr>
          <w:rFonts w:cs="Arial"/>
          <w:sz w:val="22"/>
        </w:rPr>
        <w:lastRenderedPageBreak/>
        <w:t>DEFINICIJE</w:t>
      </w:r>
      <w:bookmarkEnd w:id="0"/>
    </w:p>
    <w:p w14:paraId="0203689A" w14:textId="1C4EA4E6" w:rsidR="00E543DE" w:rsidRDefault="00DB3988" w:rsidP="00115021">
      <w:pPr>
        <w:spacing w:after="120" w:line="276" w:lineRule="auto"/>
        <w:jc w:val="both"/>
        <w:rPr>
          <w:rFonts w:cs="Arial"/>
        </w:rPr>
      </w:pPr>
      <w:r w:rsidRPr="4CF23715">
        <w:rPr>
          <w:rFonts w:cs="Arial"/>
          <w:b/>
          <w:bCs/>
        </w:rPr>
        <w:t xml:space="preserve">Alternativni investicijski fond </w:t>
      </w:r>
      <w:r w:rsidR="008D61D4" w:rsidRPr="4CF23715">
        <w:rPr>
          <w:rFonts w:cs="Arial"/>
          <w:b/>
          <w:bCs/>
        </w:rPr>
        <w:t>(</w:t>
      </w:r>
      <w:r w:rsidR="00E543DE" w:rsidRPr="4CF23715">
        <w:rPr>
          <w:rFonts w:cs="Arial"/>
          <w:b/>
          <w:bCs/>
        </w:rPr>
        <w:t>AIF</w:t>
      </w:r>
      <w:r w:rsidR="008D61D4" w:rsidRPr="4CF23715">
        <w:rPr>
          <w:rFonts w:cs="Arial"/>
          <w:b/>
          <w:bCs/>
        </w:rPr>
        <w:t>)</w:t>
      </w:r>
      <w:r w:rsidR="00D930A9" w:rsidRPr="4CF23715">
        <w:rPr>
          <w:rFonts w:cs="Arial"/>
        </w:rPr>
        <w:t xml:space="preserve">  -  </w:t>
      </w:r>
      <w:r w:rsidR="003A2AE9" w:rsidRPr="4CF23715">
        <w:rPr>
          <w:rFonts w:cs="Arial"/>
        </w:rPr>
        <w:t>I</w:t>
      </w:r>
      <w:r w:rsidR="00D930A9" w:rsidRPr="4CF23715">
        <w:rPr>
          <w:rFonts w:cs="Arial"/>
        </w:rPr>
        <w:t xml:space="preserve">nvesticijski fond osnovan sa svrhom i namjenom prikupljanja sredstava javnom ili privatnom ponudom od ulagatelja te </w:t>
      </w:r>
      <w:r w:rsidR="0E39F1B0" w:rsidRPr="4CF23715">
        <w:rPr>
          <w:rFonts w:cs="Arial"/>
        </w:rPr>
        <w:t>u</w:t>
      </w:r>
      <w:r w:rsidR="00D930A9" w:rsidRPr="4CF23715">
        <w:rPr>
          <w:rFonts w:cs="Arial"/>
        </w:rPr>
        <w:t>laganja tih sredstava u skladu s unaprijed određenom strategijom i ciljem ulaganja AIF-a</w:t>
      </w:r>
      <w:r w:rsidR="00134CA8" w:rsidRPr="4CF23715">
        <w:rPr>
          <w:rFonts w:cs="Arial"/>
        </w:rPr>
        <w:t>, a isključivo u korist imatelja udjela to</w:t>
      </w:r>
      <w:r w:rsidR="00E94239" w:rsidRPr="4CF23715">
        <w:rPr>
          <w:rFonts w:cs="Arial"/>
        </w:rPr>
        <w:t>g AIF-a</w:t>
      </w:r>
      <w:r w:rsidR="002B3BBC" w:rsidRPr="4CF23715">
        <w:rPr>
          <w:rFonts w:cs="Arial"/>
        </w:rPr>
        <w:t>;</w:t>
      </w:r>
      <w:r w:rsidR="00E94239" w:rsidRPr="4CF23715">
        <w:rPr>
          <w:rFonts w:cs="Arial"/>
        </w:rPr>
        <w:t xml:space="preserve"> </w:t>
      </w:r>
    </w:p>
    <w:p w14:paraId="2E829397" w14:textId="18D5CB64" w:rsidR="002866DE" w:rsidRPr="002866DE" w:rsidRDefault="008D61C9" w:rsidP="00ED76D7">
      <w:pPr>
        <w:spacing w:after="120" w:line="276" w:lineRule="auto"/>
        <w:jc w:val="both"/>
        <w:rPr>
          <w:rFonts w:cs="Arial"/>
        </w:rPr>
      </w:pPr>
      <w:r>
        <w:rPr>
          <w:rFonts w:cs="Arial"/>
          <w:b/>
          <w:bCs/>
        </w:rPr>
        <w:t>Društvo za upravljanje (DZU)</w:t>
      </w:r>
      <w:r w:rsidRPr="008D61C9">
        <w:rPr>
          <w:rFonts w:cs="Arial"/>
        </w:rPr>
        <w:t xml:space="preserve"> </w:t>
      </w:r>
      <w:r w:rsidR="002866DE">
        <w:rPr>
          <w:rFonts w:cs="Arial"/>
        </w:rPr>
        <w:t>-</w:t>
      </w:r>
      <w:r w:rsidRPr="00D930A9">
        <w:rPr>
          <w:rFonts w:cs="Arial"/>
        </w:rPr>
        <w:t xml:space="preserve"> </w:t>
      </w:r>
      <w:r w:rsidR="002866DE">
        <w:rPr>
          <w:rFonts w:cs="Arial"/>
        </w:rPr>
        <w:t>P</w:t>
      </w:r>
      <w:r w:rsidR="002866DE" w:rsidRPr="002866DE">
        <w:rPr>
          <w:rFonts w:cs="Arial"/>
        </w:rPr>
        <w:t>ravna osoba sa sjedištem u Republici Hrvatskoj koja, na temelju odobrenja Hrvatske agencije za nadzor financijskih usluga, obavlja djelatnost upravljanja jednim ili više AIF-ova ili pravna osoba sa sjedištem u drugoj državi članici EU koja, na temelju odobrenja nadležnog tijela te države članice, obavlja djelatnost upravljanja jednim ili više AIF-ova</w:t>
      </w:r>
      <w:r w:rsidR="00425546">
        <w:rPr>
          <w:rFonts w:cs="Arial"/>
        </w:rPr>
        <w:t>;</w:t>
      </w:r>
    </w:p>
    <w:p w14:paraId="0C971904" w14:textId="70F7CA04" w:rsidR="000A3308" w:rsidRDefault="000A3308" w:rsidP="00115021">
      <w:pPr>
        <w:spacing w:after="120" w:line="276" w:lineRule="auto"/>
        <w:jc w:val="both"/>
        <w:rPr>
          <w:rFonts w:cs="Arial"/>
        </w:rPr>
      </w:pPr>
      <w:r w:rsidRPr="00CB369A">
        <w:rPr>
          <w:rFonts w:cs="Arial"/>
          <w:b/>
          <w:bCs/>
        </w:rPr>
        <w:t>EU</w:t>
      </w:r>
      <w:r>
        <w:rPr>
          <w:rFonts w:cs="Arial"/>
        </w:rPr>
        <w:t xml:space="preserve"> </w:t>
      </w:r>
      <w:r w:rsidR="009B7A18">
        <w:rPr>
          <w:rFonts w:cs="Arial"/>
        </w:rPr>
        <w:t>-</w:t>
      </w:r>
      <w:r>
        <w:rPr>
          <w:rFonts w:cs="Arial"/>
        </w:rPr>
        <w:t xml:space="preserve"> Europska unija</w:t>
      </w:r>
      <w:r w:rsidR="000061E2">
        <w:rPr>
          <w:rFonts w:cs="Arial"/>
        </w:rPr>
        <w:t>;</w:t>
      </w:r>
      <w:r>
        <w:rPr>
          <w:rFonts w:cs="Arial"/>
        </w:rPr>
        <w:t xml:space="preserve"> </w:t>
      </w:r>
    </w:p>
    <w:p w14:paraId="4106CD87" w14:textId="269919D4" w:rsidR="0078457F" w:rsidRDefault="0004667C" w:rsidP="00115021">
      <w:pPr>
        <w:spacing w:after="120" w:line="276" w:lineRule="auto"/>
        <w:jc w:val="both"/>
        <w:rPr>
          <w:rFonts w:cs="Arial"/>
        </w:rPr>
      </w:pPr>
      <w:r w:rsidRPr="4E9C648C">
        <w:rPr>
          <w:rFonts w:cs="Arial"/>
          <w:b/>
          <w:bCs/>
        </w:rPr>
        <w:t xml:space="preserve">Financijski posrednik </w:t>
      </w:r>
      <w:r w:rsidRPr="4E9C648C">
        <w:rPr>
          <w:rFonts w:cs="Arial"/>
        </w:rPr>
        <w:t xml:space="preserve">- </w:t>
      </w:r>
      <w:r w:rsidR="00922FAA" w:rsidRPr="4E9C648C">
        <w:rPr>
          <w:rFonts w:cs="Arial"/>
        </w:rPr>
        <w:t>D</w:t>
      </w:r>
      <w:r w:rsidR="00F92368" w:rsidRPr="4E9C648C">
        <w:rPr>
          <w:rFonts w:cs="Arial"/>
        </w:rPr>
        <w:t xml:space="preserve">ruštvo za upravljanje AIF-om ili druga pravna osoba koja </w:t>
      </w:r>
      <w:r w:rsidR="00922FAA" w:rsidRPr="4E9C648C">
        <w:rPr>
          <w:rFonts w:cs="Arial"/>
        </w:rPr>
        <w:t>savjetuje</w:t>
      </w:r>
      <w:r w:rsidR="00F92368" w:rsidRPr="4E9C648C">
        <w:rPr>
          <w:rFonts w:cs="Arial"/>
        </w:rPr>
        <w:t xml:space="preserve"> AIF i/ili društvo posebne namjene (engl. </w:t>
      </w:r>
      <w:r w:rsidR="00F92368" w:rsidRPr="00ED76D7">
        <w:rPr>
          <w:rFonts w:cs="Arial"/>
          <w:i/>
        </w:rPr>
        <w:t>special purpose vehicle</w:t>
      </w:r>
      <w:r w:rsidR="00F92368" w:rsidRPr="4E9C648C">
        <w:rPr>
          <w:rFonts w:cs="Arial"/>
        </w:rPr>
        <w:t>) s ciljem provedbe Ulaganja</w:t>
      </w:r>
      <w:r w:rsidR="002B3BBC" w:rsidRPr="4E9C648C">
        <w:rPr>
          <w:rFonts w:cs="Arial"/>
        </w:rPr>
        <w:t>;</w:t>
      </w:r>
      <w:r w:rsidR="00922FAA" w:rsidRPr="4E9C648C">
        <w:rPr>
          <w:rFonts w:cs="Arial"/>
        </w:rPr>
        <w:t xml:space="preserve"> </w:t>
      </w:r>
    </w:p>
    <w:p w14:paraId="31C16D09" w14:textId="73CFF21C" w:rsidR="002337B7" w:rsidRDefault="0078457F" w:rsidP="00115021">
      <w:pPr>
        <w:spacing w:after="120" w:line="276" w:lineRule="auto"/>
        <w:jc w:val="both"/>
        <w:rPr>
          <w:rFonts w:cs="Arial"/>
        </w:rPr>
      </w:pPr>
      <w:r w:rsidRPr="004A035F">
        <w:rPr>
          <w:rFonts w:cs="Arial"/>
          <w:b/>
          <w:szCs w:val="20"/>
        </w:rPr>
        <w:t>Krajnji korisnik</w:t>
      </w:r>
      <w:r w:rsidRPr="004A035F">
        <w:rPr>
          <w:rFonts w:cs="Arial"/>
          <w:szCs w:val="20"/>
        </w:rPr>
        <w:t xml:space="preserve"> - Mikro, mala i srednja poduzeća (poslovni subjekti privatnog sektora) </w:t>
      </w:r>
      <w:r w:rsidRPr="003343F2">
        <w:rPr>
          <w:rFonts w:cs="Arial"/>
          <w:szCs w:val="20"/>
        </w:rPr>
        <w:t xml:space="preserve">u skladu s Preporukom </w:t>
      </w:r>
      <w:r w:rsidRPr="0078457F">
        <w:rPr>
          <w:rFonts w:cs="Arial"/>
          <w:szCs w:val="20"/>
        </w:rPr>
        <w:t xml:space="preserve">Europske komisije 2003/361/EC od 6. svibnja 2003. o definiciji mikro, malih i srednjih poduzetnika (SL L 124, 20.5.2003.) te subjekti srednje tržišne kapitalizacije (do 3.000 zaposlenih) koji pripadaju nekoj od faza ulaganja: sjemenskoj fazi razvoja (engl. </w:t>
      </w:r>
      <w:r w:rsidRPr="00ED76D7">
        <w:rPr>
          <w:rFonts w:cs="Arial"/>
          <w:i/>
          <w:szCs w:val="20"/>
        </w:rPr>
        <w:t>Seed</w:t>
      </w:r>
      <w:r w:rsidRPr="0078457F">
        <w:rPr>
          <w:rFonts w:cs="Arial"/>
          <w:szCs w:val="20"/>
        </w:rPr>
        <w:t xml:space="preserve">), početnoj fazi razvoja (engl. </w:t>
      </w:r>
      <w:r w:rsidRPr="00ED76D7">
        <w:rPr>
          <w:rFonts w:cs="Arial"/>
          <w:i/>
          <w:szCs w:val="20"/>
        </w:rPr>
        <w:t>Start-up</w:t>
      </w:r>
      <w:r w:rsidRPr="0078457F">
        <w:rPr>
          <w:rFonts w:cs="Arial"/>
          <w:szCs w:val="20"/>
        </w:rPr>
        <w:t xml:space="preserve">), kasnoj fazi razvoja (engl. </w:t>
      </w:r>
      <w:r w:rsidRPr="0078457F">
        <w:rPr>
          <w:rFonts w:cs="Arial"/>
          <w:i/>
          <w:iCs/>
          <w:szCs w:val="20"/>
          <w:lang w:val="en-US"/>
        </w:rPr>
        <w:t>Later stage venture</w:t>
      </w:r>
      <w:r w:rsidRPr="0078457F">
        <w:rPr>
          <w:rFonts w:cs="Arial"/>
          <w:szCs w:val="20"/>
        </w:rPr>
        <w:t xml:space="preserve">), fazi rasta (engl. </w:t>
      </w:r>
      <w:r w:rsidRPr="0078457F">
        <w:rPr>
          <w:rFonts w:cs="Arial"/>
          <w:i/>
          <w:iCs/>
          <w:szCs w:val="20"/>
          <w:lang w:val="en-US"/>
        </w:rPr>
        <w:t>Growth capital</w:t>
      </w:r>
      <w:r w:rsidRPr="0078457F">
        <w:rPr>
          <w:rFonts w:cs="Arial"/>
          <w:szCs w:val="20"/>
        </w:rPr>
        <w:t xml:space="preserve">), fazi zamjene kapitala (engl. </w:t>
      </w:r>
      <w:r w:rsidRPr="00ED76D7">
        <w:rPr>
          <w:rFonts w:cs="Arial"/>
          <w:i/>
          <w:szCs w:val="20"/>
        </w:rPr>
        <w:t>Replacement capital</w:t>
      </w:r>
      <w:r w:rsidRPr="0078457F">
        <w:rPr>
          <w:rFonts w:cs="Arial"/>
          <w:szCs w:val="20"/>
        </w:rPr>
        <w:t xml:space="preserve">), fazi preuzimanja (engl. </w:t>
      </w:r>
      <w:r w:rsidRPr="00ED76D7">
        <w:rPr>
          <w:rFonts w:cs="Arial"/>
          <w:i/>
          <w:szCs w:val="20"/>
        </w:rPr>
        <w:t>Buyout</w:t>
      </w:r>
      <w:r w:rsidRPr="0078457F">
        <w:rPr>
          <w:rFonts w:cs="Arial"/>
          <w:szCs w:val="20"/>
        </w:rPr>
        <w:t>)</w:t>
      </w:r>
      <w:r w:rsidR="00AC0952" w:rsidRPr="0078457F">
        <w:rPr>
          <w:rFonts w:cs="Arial"/>
        </w:rPr>
        <w:t xml:space="preserve">, </w:t>
      </w:r>
      <w:r w:rsidR="00B16C91" w:rsidRPr="0078457F">
        <w:rPr>
          <w:rFonts w:cs="Arial"/>
        </w:rPr>
        <w:t>sukladno definiciji faz</w:t>
      </w:r>
      <w:r w:rsidR="001A52A7" w:rsidRPr="0078457F">
        <w:rPr>
          <w:rFonts w:cs="Arial"/>
        </w:rPr>
        <w:t>a</w:t>
      </w:r>
      <w:r w:rsidR="00B16C91" w:rsidRPr="0078457F">
        <w:rPr>
          <w:rFonts w:cs="Arial"/>
        </w:rPr>
        <w:t xml:space="preserve"> ulaganja prema </w:t>
      </w:r>
      <w:proofErr w:type="spellStart"/>
      <w:r w:rsidR="00B16C91" w:rsidRPr="0078457F">
        <w:rPr>
          <w:rFonts w:cs="Arial"/>
        </w:rPr>
        <w:t>Invest</w:t>
      </w:r>
      <w:proofErr w:type="spellEnd"/>
      <w:r w:rsidR="00B16C91" w:rsidRPr="0078457F">
        <w:rPr>
          <w:rFonts w:cs="Arial"/>
        </w:rPr>
        <w:t xml:space="preserve"> Europe</w:t>
      </w:r>
      <w:r w:rsidR="00B16C91" w:rsidRPr="0078457F">
        <w:rPr>
          <w:rStyle w:val="Referencafusnote"/>
          <w:rFonts w:cs="Arial"/>
        </w:rPr>
        <w:footnoteReference w:id="2"/>
      </w:r>
      <w:r w:rsidR="00B16C91" w:rsidRPr="0078457F">
        <w:rPr>
          <w:rFonts w:cs="Arial"/>
        </w:rPr>
        <w:t xml:space="preserve"> metodologiji</w:t>
      </w:r>
      <w:r w:rsidR="00A51799" w:rsidRPr="0078457F">
        <w:rPr>
          <w:rFonts w:cs="Arial"/>
        </w:rPr>
        <w:t>;</w:t>
      </w:r>
    </w:p>
    <w:p w14:paraId="54AB2017" w14:textId="39665629" w:rsidR="0037409E" w:rsidRDefault="0037409E" w:rsidP="00115021">
      <w:pPr>
        <w:spacing w:after="120" w:line="276" w:lineRule="auto"/>
        <w:jc w:val="both"/>
        <w:rPr>
          <w:rFonts w:cs="Arial"/>
        </w:rPr>
      </w:pPr>
      <w:r w:rsidRPr="001570C5">
        <w:rPr>
          <w:rFonts w:cs="Arial"/>
          <w:b/>
          <w:bCs/>
        </w:rPr>
        <w:t xml:space="preserve">Obveza na uplatu </w:t>
      </w:r>
      <w:r w:rsidR="00192AF0" w:rsidRPr="001570C5">
        <w:rPr>
          <w:rFonts w:cs="Arial"/>
          <w:b/>
          <w:bCs/>
        </w:rPr>
        <w:t>ulagatelja</w:t>
      </w:r>
      <w:r w:rsidR="00BC77F9">
        <w:rPr>
          <w:rFonts w:cs="Arial"/>
        </w:rPr>
        <w:t xml:space="preserve"> </w:t>
      </w:r>
      <w:r w:rsidR="00F270EA">
        <w:rPr>
          <w:rFonts w:cs="Arial"/>
        </w:rPr>
        <w:t xml:space="preserve">(engl. </w:t>
      </w:r>
      <w:r w:rsidR="00F270EA" w:rsidRPr="00ED76D7">
        <w:rPr>
          <w:rFonts w:cs="Arial"/>
          <w:i/>
        </w:rPr>
        <w:t>commitment</w:t>
      </w:r>
      <w:r w:rsidR="00F270EA">
        <w:rPr>
          <w:rFonts w:cs="Arial"/>
        </w:rPr>
        <w:t xml:space="preserve">) </w:t>
      </w:r>
      <w:r w:rsidR="00192AF0">
        <w:rPr>
          <w:rFonts w:cs="Arial"/>
        </w:rPr>
        <w:t xml:space="preserve">- </w:t>
      </w:r>
      <w:r w:rsidR="004D2E6B">
        <w:rPr>
          <w:rFonts w:cs="Arial"/>
        </w:rPr>
        <w:t>o</w:t>
      </w:r>
      <w:r w:rsidR="00192AF0" w:rsidRPr="00192AF0">
        <w:rPr>
          <w:rFonts w:cs="Arial"/>
        </w:rPr>
        <w:t xml:space="preserve">bveza </w:t>
      </w:r>
      <w:r w:rsidR="00192AF0">
        <w:rPr>
          <w:rFonts w:cs="Arial"/>
        </w:rPr>
        <w:t>u</w:t>
      </w:r>
      <w:r w:rsidR="00192AF0" w:rsidRPr="00192AF0">
        <w:rPr>
          <w:rFonts w:cs="Arial"/>
        </w:rPr>
        <w:t xml:space="preserve">lagatelja na uplatu određenog iznosa (neovisno o tome je li taj iznos uplaćen u cijelosti ili djelomično ili je </w:t>
      </w:r>
      <w:r w:rsidR="00192AF0">
        <w:rPr>
          <w:rFonts w:cs="Arial"/>
        </w:rPr>
        <w:t>u</w:t>
      </w:r>
      <w:r w:rsidR="00192AF0" w:rsidRPr="00192AF0">
        <w:rPr>
          <w:rFonts w:cs="Arial"/>
        </w:rPr>
        <w:t>lagatelju izvršen povrat tog iznosa u cijelosti ili djelomično), a koji iznos se, osim za vlasničko i kvazi</w:t>
      </w:r>
      <w:r w:rsidR="00192AF0">
        <w:rPr>
          <w:rFonts w:cs="Arial"/>
        </w:rPr>
        <w:t>-</w:t>
      </w:r>
      <w:r w:rsidR="00192AF0" w:rsidRPr="00192AF0">
        <w:rPr>
          <w:rFonts w:cs="Arial"/>
        </w:rPr>
        <w:t xml:space="preserve">vlasničko financiranje Krajnjih korisnika, koristi za podmirenje naknada, troškova i drugih izdataka povezanih s </w:t>
      </w:r>
      <w:r w:rsidR="001570C5">
        <w:rPr>
          <w:rFonts w:cs="Arial"/>
        </w:rPr>
        <w:t>u</w:t>
      </w:r>
      <w:r w:rsidR="00192AF0" w:rsidRPr="00192AF0">
        <w:rPr>
          <w:rFonts w:cs="Arial"/>
        </w:rPr>
        <w:t>laganjem;</w:t>
      </w:r>
    </w:p>
    <w:p w14:paraId="22036853" w14:textId="30809D3B" w:rsidR="00342C4C" w:rsidRDefault="00342C4C" w:rsidP="00115021">
      <w:pPr>
        <w:spacing w:after="120" w:line="276" w:lineRule="auto"/>
        <w:jc w:val="both"/>
        <w:rPr>
          <w:rFonts w:cs="Arial"/>
        </w:rPr>
      </w:pPr>
      <w:r w:rsidRPr="00CC7AAB">
        <w:rPr>
          <w:rFonts w:cs="Arial"/>
          <w:b/>
          <w:bCs/>
        </w:rPr>
        <w:t>Prilika za ulaganje</w:t>
      </w:r>
      <w:r w:rsidR="00CC7AAB" w:rsidRPr="00CC7AAB">
        <w:t xml:space="preserve"> </w:t>
      </w:r>
      <w:r w:rsidR="00CC7AAB">
        <w:t xml:space="preserve">- </w:t>
      </w:r>
      <w:r w:rsidR="00CC7AAB" w:rsidRPr="00CC7AAB">
        <w:rPr>
          <w:rFonts w:cs="Arial"/>
        </w:rPr>
        <w:t>prijedlog zaprimljen od DZU (osnovanog ili onoga koji se tek planira osnovati) za ulaganje u AIF koj</w:t>
      </w:r>
      <w:r w:rsidR="00CA59E9">
        <w:rPr>
          <w:rFonts w:cs="Arial"/>
        </w:rPr>
        <w:t>i</w:t>
      </w:r>
      <w:r w:rsidR="00CC7AAB" w:rsidRPr="00CC7AAB">
        <w:rPr>
          <w:rFonts w:cs="Arial"/>
        </w:rPr>
        <w:t xml:space="preserve"> sadrži minimalno sljedeće dokumente ili informacije: opis projekta s pregledom tržišta, investicijskom strategijom i upravljačkom strukturom (uključujući i životopise članova tima DZU), ključne informacije o ciljanoj veličini ulaganja (uključujući i informacije o sudjelovanju drugih ulagatelja), uvjete ulaganja po pitanju načina provedbe, trajanja i troškova te financijski plan</w:t>
      </w:r>
      <w:r w:rsidR="00CC7AAB">
        <w:rPr>
          <w:rFonts w:cs="Arial"/>
        </w:rPr>
        <w:t>;</w:t>
      </w:r>
    </w:p>
    <w:p w14:paraId="213D5F65" w14:textId="244FE89C" w:rsidR="008F6FE7" w:rsidRDefault="008F6FE7" w:rsidP="00115021">
      <w:pPr>
        <w:spacing w:after="120" w:line="276" w:lineRule="auto"/>
        <w:jc w:val="both"/>
        <w:rPr>
          <w:rFonts w:cs="Arial"/>
        </w:rPr>
      </w:pPr>
      <w:r w:rsidRPr="4CF23715">
        <w:rPr>
          <w:rFonts w:cs="Arial"/>
          <w:b/>
          <w:bCs/>
        </w:rPr>
        <w:t>Program ulaganja</w:t>
      </w:r>
      <w:r w:rsidRPr="4CF23715">
        <w:rPr>
          <w:rFonts w:cs="Arial"/>
        </w:rPr>
        <w:t xml:space="preserve"> </w:t>
      </w:r>
      <w:r w:rsidR="00226475" w:rsidRPr="4CF23715">
        <w:rPr>
          <w:rFonts w:cs="Arial"/>
        </w:rPr>
        <w:t xml:space="preserve">ili samo Program </w:t>
      </w:r>
      <w:r w:rsidR="00433804" w:rsidRPr="4CF23715">
        <w:rPr>
          <w:rFonts w:cs="Arial"/>
        </w:rPr>
        <w:t xml:space="preserve">- Program ulaganja u </w:t>
      </w:r>
      <w:r w:rsidR="00175BA2">
        <w:rPr>
          <w:rFonts w:cs="Arial"/>
        </w:rPr>
        <w:t>alternativne investicijske fondove</w:t>
      </w:r>
      <w:r w:rsidR="000061E2" w:rsidRPr="4CF23715">
        <w:rPr>
          <w:rFonts w:cs="Arial"/>
        </w:rPr>
        <w:t>;</w:t>
      </w:r>
      <w:r w:rsidR="00433804" w:rsidRPr="4CF23715">
        <w:rPr>
          <w:rFonts w:cs="Arial"/>
        </w:rPr>
        <w:t xml:space="preserve"> </w:t>
      </w:r>
    </w:p>
    <w:p w14:paraId="491119D4" w14:textId="61E1327F" w:rsidR="00D747D6" w:rsidRDefault="00D747D6" w:rsidP="00115021">
      <w:pPr>
        <w:spacing w:after="120" w:line="276" w:lineRule="auto"/>
        <w:jc w:val="both"/>
        <w:rPr>
          <w:rFonts w:cs="Arial"/>
        </w:rPr>
      </w:pPr>
      <w:r w:rsidRPr="001570C5">
        <w:rPr>
          <w:rFonts w:cs="Arial"/>
          <w:b/>
          <w:bCs/>
        </w:rPr>
        <w:t>RH</w:t>
      </w:r>
      <w:r w:rsidR="001570C5">
        <w:rPr>
          <w:rFonts w:cs="Arial"/>
        </w:rPr>
        <w:t xml:space="preserve"> - Republika Hrvatska</w:t>
      </w:r>
      <w:r w:rsidR="004306D2">
        <w:rPr>
          <w:rFonts w:cs="Arial"/>
        </w:rPr>
        <w:t>.</w:t>
      </w:r>
    </w:p>
    <w:p w14:paraId="2A481084" w14:textId="77777777" w:rsidR="0037409E" w:rsidRDefault="0037409E" w:rsidP="0004667C">
      <w:pPr>
        <w:spacing w:after="120" w:line="276" w:lineRule="auto"/>
        <w:jc w:val="both"/>
        <w:rPr>
          <w:rFonts w:cs="Arial"/>
        </w:rPr>
      </w:pPr>
    </w:p>
    <w:p w14:paraId="0122771A" w14:textId="5F8B3718" w:rsidR="0004667C" w:rsidRDefault="0004667C" w:rsidP="0004667C">
      <w:pPr>
        <w:spacing w:after="120" w:line="276" w:lineRule="auto"/>
        <w:jc w:val="both"/>
        <w:rPr>
          <w:rFonts w:cs="Arial"/>
        </w:rPr>
      </w:pPr>
      <w:r>
        <w:rPr>
          <w:rFonts w:cs="Arial"/>
        </w:rPr>
        <w:t xml:space="preserve"> </w:t>
      </w:r>
    </w:p>
    <w:p w14:paraId="4E062CAD" w14:textId="389FDBC4" w:rsidR="0004667C" w:rsidRPr="00D930A9" w:rsidRDefault="0004667C" w:rsidP="00D930A9">
      <w:pPr>
        <w:spacing w:after="120" w:line="276" w:lineRule="auto"/>
        <w:jc w:val="both"/>
        <w:rPr>
          <w:rFonts w:cs="Arial"/>
        </w:rPr>
        <w:sectPr w:rsidR="0004667C" w:rsidRPr="00D930A9" w:rsidSect="00B241B0">
          <w:pgSz w:w="11907" w:h="16840" w:code="9"/>
          <w:pgMar w:top="1440" w:right="1080" w:bottom="1440" w:left="1080" w:header="709" w:footer="567" w:gutter="0"/>
          <w:pgNumType w:start="1"/>
          <w:cols w:space="708"/>
          <w:titlePg/>
          <w:docGrid w:linePitch="360"/>
        </w:sectPr>
      </w:pPr>
    </w:p>
    <w:p w14:paraId="68BC3838" w14:textId="15666C47" w:rsidR="009007F4" w:rsidRPr="00634235" w:rsidRDefault="00765A97" w:rsidP="001F7469">
      <w:pPr>
        <w:pStyle w:val="Naslov1"/>
        <w:spacing w:after="120" w:line="276" w:lineRule="auto"/>
        <w:rPr>
          <w:rFonts w:cs="Arial"/>
          <w:sz w:val="22"/>
        </w:rPr>
      </w:pPr>
      <w:bookmarkStart w:id="1" w:name="_Toc193374161"/>
      <w:r>
        <w:rPr>
          <w:rFonts w:cs="Arial"/>
          <w:sz w:val="22"/>
        </w:rPr>
        <w:lastRenderedPageBreak/>
        <w:t>UVOD</w:t>
      </w:r>
      <w:bookmarkEnd w:id="1"/>
      <w:r>
        <w:rPr>
          <w:rFonts w:cs="Arial"/>
          <w:sz w:val="22"/>
        </w:rPr>
        <w:t xml:space="preserve"> </w:t>
      </w:r>
    </w:p>
    <w:p w14:paraId="4B6256DC" w14:textId="3E42DB96" w:rsidR="00147950" w:rsidRDefault="00504E25" w:rsidP="00653F38">
      <w:pPr>
        <w:spacing w:before="60" w:afterLines="60" w:after="144" w:line="276" w:lineRule="auto"/>
        <w:jc w:val="both"/>
        <w:rPr>
          <w:rFonts w:cs="Arial"/>
        </w:rPr>
      </w:pPr>
      <w:r w:rsidRPr="00AF2EA6">
        <w:rPr>
          <w:rFonts w:cs="Arial"/>
        </w:rPr>
        <w:t>Svrha ovog</w:t>
      </w:r>
      <w:r w:rsidR="00951211" w:rsidRPr="00AF2EA6">
        <w:rPr>
          <w:rFonts w:cs="Arial"/>
        </w:rPr>
        <w:t xml:space="preserve"> Poziva za odabir financijskih </w:t>
      </w:r>
      <w:r w:rsidR="00951211" w:rsidRPr="00BC3525">
        <w:rPr>
          <w:rFonts w:cs="Arial"/>
        </w:rPr>
        <w:t>posrednika (</w:t>
      </w:r>
      <w:r w:rsidR="00772EFC" w:rsidRPr="00BC3525">
        <w:rPr>
          <w:rFonts w:cs="Arial"/>
        </w:rPr>
        <w:t>dalje u tekstu: Poziv) je</w:t>
      </w:r>
      <w:r w:rsidRPr="00BC3525">
        <w:rPr>
          <w:rFonts w:cs="Arial"/>
        </w:rPr>
        <w:t xml:space="preserve"> odabir</w:t>
      </w:r>
      <w:r w:rsidR="00FE5B34" w:rsidRPr="00BC3525">
        <w:rPr>
          <w:rFonts w:cs="Arial"/>
        </w:rPr>
        <w:t xml:space="preserve"> </w:t>
      </w:r>
      <w:r w:rsidR="004172DF" w:rsidRPr="00BC3525">
        <w:rPr>
          <w:rFonts w:cs="Arial"/>
        </w:rPr>
        <w:t>F</w:t>
      </w:r>
      <w:r w:rsidRPr="00BC3525">
        <w:rPr>
          <w:rFonts w:cs="Arial"/>
        </w:rPr>
        <w:t>inancijsk</w:t>
      </w:r>
      <w:r w:rsidR="007E49C5" w:rsidRPr="00BC3525">
        <w:rPr>
          <w:rFonts w:cs="Arial"/>
        </w:rPr>
        <w:t>ih</w:t>
      </w:r>
      <w:r w:rsidR="00E73D9A" w:rsidRPr="00BC3525">
        <w:rPr>
          <w:rFonts w:cs="Arial"/>
        </w:rPr>
        <w:t xml:space="preserve"> </w:t>
      </w:r>
      <w:r w:rsidRPr="00BC3525">
        <w:rPr>
          <w:rFonts w:cs="Arial"/>
        </w:rPr>
        <w:t>posrednika</w:t>
      </w:r>
      <w:r w:rsidR="002C0FA6" w:rsidRPr="00BC3525">
        <w:rPr>
          <w:rFonts w:cs="Arial"/>
        </w:rPr>
        <w:t xml:space="preserve"> koji će upravljati alternativnim</w:t>
      </w:r>
      <w:r w:rsidR="00175BA2" w:rsidRPr="00BC3525">
        <w:rPr>
          <w:rFonts w:cs="Arial"/>
        </w:rPr>
        <w:t xml:space="preserve"> </w:t>
      </w:r>
      <w:r w:rsidR="00F74FA9" w:rsidRPr="00BC3525">
        <w:rPr>
          <w:rFonts w:cs="Arial"/>
        </w:rPr>
        <w:t>investicijskim</w:t>
      </w:r>
      <w:r w:rsidR="00175BA2" w:rsidRPr="00BC3525">
        <w:rPr>
          <w:rFonts w:cs="Arial"/>
        </w:rPr>
        <w:t xml:space="preserve"> </w:t>
      </w:r>
      <w:r w:rsidR="006D5079">
        <w:rPr>
          <w:rFonts w:cs="Arial"/>
        </w:rPr>
        <w:t xml:space="preserve">fondovima </w:t>
      </w:r>
      <w:r w:rsidR="00454E28" w:rsidRPr="00BC3525">
        <w:rPr>
          <w:rFonts w:cs="Arial"/>
        </w:rPr>
        <w:t>sukladno</w:t>
      </w:r>
      <w:r w:rsidR="00F74FA9" w:rsidRPr="00BC3525">
        <w:rPr>
          <w:rFonts w:cs="Arial"/>
        </w:rPr>
        <w:t xml:space="preserve"> uvjetima</w:t>
      </w:r>
      <w:r w:rsidR="00454E28" w:rsidRPr="00BC3525">
        <w:rPr>
          <w:rFonts w:cs="Arial"/>
        </w:rPr>
        <w:t xml:space="preserve"> </w:t>
      </w:r>
      <w:r w:rsidR="00F74FA9" w:rsidRPr="00653F38">
        <w:rPr>
          <w:rFonts w:cs="Arial"/>
        </w:rPr>
        <w:t xml:space="preserve">Programa </w:t>
      </w:r>
      <w:r w:rsidR="00067E9E" w:rsidRPr="00653F38">
        <w:rPr>
          <w:rFonts w:cs="Arial"/>
        </w:rPr>
        <w:t>ulaganja</w:t>
      </w:r>
      <w:r w:rsidR="00966FD3" w:rsidRPr="00653F38">
        <w:rPr>
          <w:rStyle w:val="Referencafusnote"/>
          <w:rFonts w:cs="Arial"/>
        </w:rPr>
        <w:footnoteReference w:id="3"/>
      </w:r>
      <w:r w:rsidR="009C5ED2" w:rsidRPr="00BC3525">
        <w:rPr>
          <w:rFonts w:cs="Arial"/>
        </w:rPr>
        <w:t>.</w:t>
      </w:r>
    </w:p>
    <w:p w14:paraId="6ED0BFAB" w14:textId="56F968F1" w:rsidR="00A1118E" w:rsidRPr="000F290A" w:rsidRDefault="00A1118E" w:rsidP="00A1118E">
      <w:pPr>
        <w:pStyle w:val="paragraph"/>
        <w:spacing w:before="0" w:beforeAutospacing="0" w:after="120" w:afterAutospacing="0" w:line="276" w:lineRule="auto"/>
        <w:jc w:val="both"/>
        <w:textAlignment w:val="baseline"/>
        <w:rPr>
          <w:rFonts w:ascii="Arial" w:hAnsi="Arial" w:cs="Arial"/>
          <w:sz w:val="20"/>
          <w:szCs w:val="20"/>
        </w:rPr>
      </w:pPr>
      <w:r w:rsidRPr="000F290A">
        <w:rPr>
          <w:rFonts w:ascii="Arial" w:hAnsi="Arial" w:cs="Arial"/>
          <w:sz w:val="20"/>
          <w:szCs w:val="20"/>
        </w:rPr>
        <w:t xml:space="preserve">HBOR je osigurao vlastita sredstva (dalje u tekstu: HBOR sredstva) za provedbu Programa ulaganja u alternativne investicijske fondove (dalje u tekstu: Program). Navedena sredstva HBOR ulaže </w:t>
      </w:r>
      <w:r w:rsidRPr="000F290A">
        <w:rPr>
          <w:rFonts w:ascii="Arial" w:hAnsi="Arial" w:cs="Arial"/>
          <w:b/>
          <w:bCs/>
          <w:sz w:val="20"/>
          <w:szCs w:val="20"/>
        </w:rPr>
        <w:t>isključivo putem financijskih posrednika</w:t>
      </w:r>
      <w:r w:rsidRPr="000F290A">
        <w:rPr>
          <w:rFonts w:ascii="Arial" w:hAnsi="Arial" w:cs="Arial"/>
          <w:sz w:val="20"/>
          <w:szCs w:val="20"/>
        </w:rPr>
        <w:t xml:space="preserve">, odnosno </w:t>
      </w:r>
      <w:r w:rsidRPr="000F290A">
        <w:rPr>
          <w:rFonts w:ascii="Arial" w:hAnsi="Arial" w:cs="Arial"/>
          <w:b/>
          <w:bCs/>
          <w:sz w:val="20"/>
          <w:szCs w:val="20"/>
        </w:rPr>
        <w:t xml:space="preserve">alternativnih investicijskih fondova </w:t>
      </w:r>
      <w:r w:rsidRPr="0082139A">
        <w:rPr>
          <w:rFonts w:ascii="Arial" w:hAnsi="Arial" w:cs="Arial"/>
          <w:sz w:val="20"/>
          <w:szCs w:val="20"/>
        </w:rPr>
        <w:t>(</w:t>
      </w:r>
      <w:r w:rsidR="0082139A" w:rsidRPr="0082139A">
        <w:rPr>
          <w:rFonts w:ascii="Arial" w:hAnsi="Arial" w:cs="Arial"/>
          <w:sz w:val="20"/>
          <w:szCs w:val="20"/>
        </w:rPr>
        <w:t xml:space="preserve">dalje u tekstu: </w:t>
      </w:r>
      <w:r w:rsidRPr="0082139A">
        <w:rPr>
          <w:rFonts w:ascii="Arial" w:hAnsi="Arial" w:cs="Arial"/>
          <w:sz w:val="20"/>
          <w:szCs w:val="20"/>
        </w:rPr>
        <w:t>AIF)</w:t>
      </w:r>
      <w:r w:rsidRPr="000F290A">
        <w:rPr>
          <w:rFonts w:ascii="Arial" w:hAnsi="Arial" w:cs="Arial"/>
          <w:sz w:val="20"/>
          <w:szCs w:val="20"/>
        </w:rPr>
        <w:t xml:space="preserve">, u svoje ime i za svoj račun. </w:t>
      </w:r>
    </w:p>
    <w:p w14:paraId="43CA65FA" w14:textId="4652182B" w:rsidR="00A1118E" w:rsidRPr="000F290A" w:rsidRDefault="00A1118E" w:rsidP="105F4727">
      <w:pPr>
        <w:pStyle w:val="paragraph"/>
        <w:spacing w:before="0" w:beforeAutospacing="0" w:after="120" w:afterAutospacing="0" w:line="276" w:lineRule="auto"/>
        <w:jc w:val="both"/>
        <w:textAlignment w:val="baseline"/>
        <w:rPr>
          <w:rFonts w:ascii="Arial" w:hAnsi="Arial" w:cs="Arial"/>
          <w:b/>
          <w:bCs/>
          <w:sz w:val="20"/>
          <w:szCs w:val="20"/>
        </w:rPr>
      </w:pPr>
      <w:r w:rsidRPr="000F290A">
        <w:rPr>
          <w:rFonts w:ascii="Arial" w:hAnsi="Arial" w:cs="Arial"/>
          <w:sz w:val="20"/>
          <w:szCs w:val="20"/>
        </w:rPr>
        <w:t>Cilj Programa je poboljšati dostupnost i diversificirati izvore financiranja hrvatskih poduzeća, omogućujući poduzetnicima pristup kapitalu kroz ulaganja alternativnih investicijskih fondova. Program je usmjeren na financiranje inovativnih projekata start-</w:t>
      </w:r>
      <w:proofErr w:type="spellStart"/>
      <w:r w:rsidRPr="000F290A">
        <w:rPr>
          <w:rFonts w:ascii="Arial" w:hAnsi="Arial" w:cs="Arial"/>
          <w:sz w:val="20"/>
          <w:szCs w:val="20"/>
        </w:rPr>
        <w:t>up</w:t>
      </w:r>
      <w:proofErr w:type="spellEnd"/>
      <w:r w:rsidRPr="000F290A">
        <w:rPr>
          <w:rFonts w:ascii="Arial" w:hAnsi="Arial" w:cs="Arial"/>
          <w:sz w:val="20"/>
          <w:szCs w:val="20"/>
        </w:rPr>
        <w:t xml:space="preserve"> poduzeća, MSP-ova i poduzeća srednje tržišne kapitalizacije (engl. „</w:t>
      </w:r>
      <w:r w:rsidRPr="000F290A">
        <w:rPr>
          <w:rFonts w:ascii="Arial" w:hAnsi="Arial" w:cs="Arial"/>
          <w:i/>
          <w:iCs/>
          <w:sz w:val="20"/>
          <w:szCs w:val="20"/>
          <w:lang w:val="en-US"/>
        </w:rPr>
        <w:t>mid-cap</w:t>
      </w:r>
      <w:r w:rsidRPr="000F290A">
        <w:rPr>
          <w:rFonts w:ascii="Arial" w:hAnsi="Arial" w:cs="Arial"/>
          <w:sz w:val="20"/>
          <w:szCs w:val="20"/>
        </w:rPr>
        <w:t xml:space="preserve">“) s visokim potencijalom za rast. </w:t>
      </w:r>
    </w:p>
    <w:p w14:paraId="5955E55A" w14:textId="79A84491" w:rsidR="00A1118E" w:rsidRPr="000F290A" w:rsidRDefault="00A1118E" w:rsidP="00A1118E">
      <w:pPr>
        <w:pStyle w:val="paragraph"/>
        <w:spacing w:before="0" w:beforeAutospacing="0" w:after="120" w:afterAutospacing="0" w:line="276" w:lineRule="auto"/>
        <w:jc w:val="both"/>
        <w:textAlignment w:val="baseline"/>
        <w:rPr>
          <w:rFonts w:ascii="Arial" w:hAnsi="Arial" w:cs="Arial"/>
          <w:b/>
          <w:sz w:val="20"/>
          <w:szCs w:val="20"/>
        </w:rPr>
      </w:pPr>
      <w:r w:rsidRPr="105F4727">
        <w:rPr>
          <w:rFonts w:ascii="Arial" w:hAnsi="Arial" w:cs="Arial"/>
          <w:b/>
          <w:sz w:val="20"/>
          <w:szCs w:val="20"/>
        </w:rPr>
        <w:t>Naglasak je na ulaganjima koja doprinose gospodarskom i društvenom razvoju, u skladu s ciljevima održivosti, te poticanju uravnoteženog i održivog regionalnog razvoja RH.</w:t>
      </w:r>
    </w:p>
    <w:p w14:paraId="6D3A8309" w14:textId="6A8DB7FA" w:rsidR="005C4611" w:rsidRPr="00AF2EA6" w:rsidRDefault="00334612" w:rsidP="00AF2EA6">
      <w:pPr>
        <w:spacing w:before="60" w:afterLines="60" w:after="144" w:line="276" w:lineRule="auto"/>
        <w:jc w:val="both"/>
        <w:rPr>
          <w:rFonts w:cs="Arial"/>
        </w:rPr>
      </w:pPr>
      <w:r w:rsidRPr="105F4727">
        <w:rPr>
          <w:rFonts w:cs="Arial"/>
          <w:b/>
        </w:rPr>
        <w:t>Pravo na ulaganje ne postoji, već HBOR o svakom zahtjevu donosi posebnu odluku.</w:t>
      </w:r>
      <w:r w:rsidR="000F0DC5">
        <w:rPr>
          <w:rFonts w:cs="Arial"/>
        </w:rPr>
        <w:t xml:space="preserve"> </w:t>
      </w:r>
      <w:r w:rsidR="00A001C9" w:rsidRPr="00AF2EA6">
        <w:rPr>
          <w:rFonts w:cs="Arial"/>
        </w:rPr>
        <w:t xml:space="preserve">HBOR </w:t>
      </w:r>
      <w:r w:rsidR="005C4611" w:rsidRPr="00AF2EA6">
        <w:rPr>
          <w:rFonts w:cs="Arial"/>
        </w:rPr>
        <w:t xml:space="preserve">zadržava potpunu diskreciju u odlučivanju o iznosu </w:t>
      </w:r>
      <w:r w:rsidR="00796AA7" w:rsidRPr="00AF2EA6">
        <w:rPr>
          <w:rFonts w:cs="Arial"/>
        </w:rPr>
        <w:t>ulaganja</w:t>
      </w:r>
      <w:r w:rsidR="005C4611" w:rsidRPr="00AF2EA6">
        <w:rPr>
          <w:rFonts w:cs="Arial"/>
        </w:rPr>
        <w:t xml:space="preserve"> u pojedini </w:t>
      </w:r>
      <w:r w:rsidR="00B34320" w:rsidRPr="00AF2EA6">
        <w:rPr>
          <w:rFonts w:cs="Arial"/>
        </w:rPr>
        <w:t>AIF</w:t>
      </w:r>
      <w:r w:rsidR="005C4611" w:rsidRPr="00AF2EA6">
        <w:rPr>
          <w:rFonts w:cs="Arial"/>
        </w:rPr>
        <w:t xml:space="preserve">. </w:t>
      </w:r>
      <w:r w:rsidR="000F0DC5">
        <w:rPr>
          <w:rFonts w:cs="Arial"/>
        </w:rPr>
        <w:t>HBOR će kod donošenja odluke o ulaganju voditi računa o strateškom interesu HBOR-a i RH.</w:t>
      </w:r>
    </w:p>
    <w:p w14:paraId="4FE9C6FE" w14:textId="6382CC69" w:rsidR="00F6761B" w:rsidRPr="00074CCE" w:rsidRDefault="00F6481F" w:rsidP="00AF2EA6">
      <w:pPr>
        <w:spacing w:before="60" w:afterLines="60" w:after="144" w:line="276" w:lineRule="auto"/>
        <w:jc w:val="both"/>
        <w:rPr>
          <w:rFonts w:cs="Arial"/>
        </w:rPr>
      </w:pPr>
      <w:r w:rsidRPr="00074CCE">
        <w:rPr>
          <w:rFonts w:cs="Arial"/>
        </w:rPr>
        <w:t xml:space="preserve">Prijavitelji moraju ispunjavati uvjete </w:t>
      </w:r>
      <w:r w:rsidR="00342012" w:rsidRPr="00074CCE">
        <w:rPr>
          <w:rFonts w:cs="Arial"/>
        </w:rPr>
        <w:t xml:space="preserve">iz </w:t>
      </w:r>
      <w:r w:rsidR="0029403B" w:rsidRPr="00074CCE">
        <w:rPr>
          <w:rFonts w:cs="Arial"/>
        </w:rPr>
        <w:t xml:space="preserve">ovog </w:t>
      </w:r>
      <w:r w:rsidR="00342012" w:rsidRPr="00074CCE">
        <w:rPr>
          <w:rFonts w:cs="Arial"/>
        </w:rPr>
        <w:t>Poziv</w:t>
      </w:r>
      <w:r w:rsidR="00965D29" w:rsidRPr="00074CCE">
        <w:rPr>
          <w:rFonts w:cs="Arial"/>
        </w:rPr>
        <w:t>a i Programa</w:t>
      </w:r>
      <w:r w:rsidR="00342012" w:rsidRPr="00074CCE">
        <w:rPr>
          <w:rFonts w:cs="Arial"/>
        </w:rPr>
        <w:t>.</w:t>
      </w:r>
      <w:r w:rsidR="0029046A" w:rsidRPr="00074CCE">
        <w:rPr>
          <w:rFonts w:cs="Arial"/>
        </w:rPr>
        <w:t xml:space="preserve"> </w:t>
      </w:r>
    </w:p>
    <w:p w14:paraId="1D9DA666" w14:textId="62F9FDD7" w:rsidR="001F7469" w:rsidRDefault="005578DF" w:rsidP="00641866">
      <w:pPr>
        <w:spacing w:before="60" w:afterLines="60" w:after="144" w:line="276" w:lineRule="auto"/>
        <w:jc w:val="both"/>
        <w:rPr>
          <w:rFonts w:cs="Arial"/>
        </w:rPr>
      </w:pPr>
      <w:r w:rsidRPr="00074CCE">
        <w:rPr>
          <w:rFonts w:cs="Arial"/>
        </w:rPr>
        <w:t>HBOR zadržava pravo</w:t>
      </w:r>
      <w:r w:rsidR="003D40D0" w:rsidRPr="00074CCE">
        <w:rPr>
          <w:rFonts w:cs="Arial"/>
        </w:rPr>
        <w:t xml:space="preserve"> izmjene uvjeta </w:t>
      </w:r>
      <w:r w:rsidR="00B44CDE" w:rsidRPr="00074CCE">
        <w:rPr>
          <w:rFonts w:cs="Arial"/>
        </w:rPr>
        <w:t>navedeni</w:t>
      </w:r>
      <w:r w:rsidR="00E878D8" w:rsidRPr="00074CCE">
        <w:rPr>
          <w:rFonts w:cs="Arial"/>
        </w:rPr>
        <w:t>h</w:t>
      </w:r>
      <w:r w:rsidR="00B44CDE" w:rsidRPr="00074CCE">
        <w:rPr>
          <w:rFonts w:cs="Arial"/>
        </w:rPr>
        <w:t xml:space="preserve"> u ovom Pozivu</w:t>
      </w:r>
      <w:r w:rsidR="00641866" w:rsidRPr="00074CCE">
        <w:rPr>
          <w:rFonts w:cs="Arial"/>
        </w:rPr>
        <w:t xml:space="preserve">, a sve eventualne izmjene bit će objavljene na </w:t>
      </w:r>
      <w:r w:rsidR="00491860" w:rsidRPr="00074CCE">
        <w:rPr>
          <w:rFonts w:cs="Arial"/>
        </w:rPr>
        <w:t xml:space="preserve">internetskoj </w:t>
      </w:r>
      <w:r w:rsidR="00641866" w:rsidRPr="00074CCE">
        <w:rPr>
          <w:rFonts w:cs="Arial"/>
        </w:rPr>
        <w:t>stranici</w:t>
      </w:r>
      <w:r w:rsidR="00491860" w:rsidRPr="00074CCE">
        <w:rPr>
          <w:rFonts w:cs="Arial"/>
        </w:rPr>
        <w:t xml:space="preserve"> </w:t>
      </w:r>
      <w:hyperlink r:id="rId15" w:tgtFrame="_new" w:history="1">
        <w:r w:rsidR="00074CCE" w:rsidRPr="00074CCE">
          <w:rPr>
            <w:rStyle w:val="Hiperveza"/>
            <w:rFonts w:cs="Arial"/>
            <w:szCs w:val="20"/>
          </w:rPr>
          <w:t>www.hbor.hr</w:t>
        </w:r>
      </w:hyperlink>
      <w:r w:rsidR="00641866" w:rsidRPr="00074CCE">
        <w:rPr>
          <w:rFonts w:cs="Arial"/>
        </w:rPr>
        <w:t>.</w:t>
      </w:r>
    </w:p>
    <w:p w14:paraId="1146F86C" w14:textId="77777777" w:rsidR="00057644" w:rsidRDefault="00057644" w:rsidP="00641866">
      <w:pPr>
        <w:spacing w:before="60" w:afterLines="60" w:after="144" w:line="276" w:lineRule="auto"/>
        <w:jc w:val="both"/>
        <w:rPr>
          <w:rFonts w:cs="Arial"/>
        </w:rPr>
      </w:pPr>
    </w:p>
    <w:p w14:paraId="05D66E6D" w14:textId="3419022E" w:rsidR="003B1B50" w:rsidRDefault="00D1402E" w:rsidP="00E94239">
      <w:pPr>
        <w:pStyle w:val="Naslov1"/>
        <w:numPr>
          <w:ilvl w:val="0"/>
          <w:numId w:val="1"/>
        </w:numPr>
        <w:spacing w:after="120" w:line="276" w:lineRule="auto"/>
        <w:rPr>
          <w:rFonts w:cs="Arial"/>
          <w:sz w:val="22"/>
        </w:rPr>
      </w:pPr>
      <w:bookmarkStart w:id="2" w:name="_Toc193374162"/>
      <w:r w:rsidRPr="007C7C2A">
        <w:rPr>
          <w:rFonts w:cs="Arial"/>
          <w:sz w:val="22"/>
        </w:rPr>
        <w:t xml:space="preserve">UVJETI </w:t>
      </w:r>
      <w:r w:rsidR="003F25CE" w:rsidRPr="007C7C2A">
        <w:rPr>
          <w:rFonts w:cs="Arial"/>
          <w:sz w:val="22"/>
        </w:rPr>
        <w:t>PROGRAMA</w:t>
      </w:r>
      <w:bookmarkEnd w:id="2"/>
    </w:p>
    <w:p w14:paraId="1EC51446" w14:textId="77777777" w:rsidR="002F01D0" w:rsidRPr="002F01D0" w:rsidRDefault="002F01D0" w:rsidP="002F01D0"/>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981"/>
        <w:gridCol w:w="7766"/>
      </w:tblGrid>
      <w:tr w:rsidR="00AD577A" w:rsidRPr="00057644" w14:paraId="2E765840" w14:textId="77777777" w:rsidTr="00083BDB">
        <w:trPr>
          <w:trHeight w:val="300"/>
        </w:trPr>
        <w:tc>
          <w:tcPr>
            <w:tcW w:w="5000" w:type="pct"/>
            <w:gridSpan w:val="2"/>
            <w:tcBorders>
              <w:top w:val="nil"/>
              <w:bottom w:val="single" w:sz="4" w:space="0" w:color="auto"/>
            </w:tcBorders>
            <w:shd w:val="clear" w:color="auto" w:fill="F2F2F2" w:themeFill="background1" w:themeFillShade="F2"/>
          </w:tcPr>
          <w:p w14:paraId="0ECECC0A" w14:textId="77777777" w:rsidR="00AD577A" w:rsidRPr="00057644" w:rsidRDefault="00AD577A" w:rsidP="00083BDB">
            <w:pPr>
              <w:pStyle w:val="paragraph"/>
              <w:spacing w:before="60" w:beforeAutospacing="0" w:after="60" w:afterAutospacing="0" w:line="276" w:lineRule="auto"/>
              <w:jc w:val="both"/>
              <w:rPr>
                <w:rFonts w:ascii="Arial" w:hAnsi="Arial" w:cs="Arial"/>
                <w:b/>
                <w:sz w:val="20"/>
                <w:szCs w:val="20"/>
              </w:rPr>
            </w:pPr>
            <w:r w:rsidRPr="00057644">
              <w:rPr>
                <w:rStyle w:val="normaltextrun"/>
                <w:rFonts w:ascii="Arial" w:eastAsiaTheme="majorEastAsia" w:hAnsi="Arial" w:cs="Arial"/>
                <w:b/>
                <w:color w:val="1F3864" w:themeColor="accent1" w:themeShade="80"/>
                <w:sz w:val="20"/>
                <w:szCs w:val="20"/>
              </w:rPr>
              <w:t>UVJETI ULAGANJA</w:t>
            </w:r>
          </w:p>
        </w:tc>
      </w:tr>
      <w:tr w:rsidR="00AD577A" w:rsidRPr="00057644" w14:paraId="7B86B751" w14:textId="77777777" w:rsidTr="00083BDB">
        <w:trPr>
          <w:trHeight w:val="300"/>
        </w:trPr>
        <w:tc>
          <w:tcPr>
            <w:tcW w:w="1016" w:type="pct"/>
            <w:tcBorders>
              <w:top w:val="single" w:sz="4" w:space="0" w:color="auto"/>
              <w:bottom w:val="single" w:sz="4" w:space="0" w:color="auto"/>
            </w:tcBorders>
            <w:shd w:val="clear" w:color="auto" w:fill="auto"/>
            <w:hideMark/>
          </w:tcPr>
          <w:p w14:paraId="0D246712" w14:textId="77777777" w:rsidR="00AD577A" w:rsidRPr="00057644" w:rsidRDefault="00AD577A" w:rsidP="00AD577A">
            <w:pPr>
              <w:pStyle w:val="paragraph"/>
              <w:numPr>
                <w:ilvl w:val="0"/>
                <w:numId w:val="22"/>
              </w:numPr>
              <w:spacing w:before="120" w:beforeAutospacing="0" w:after="0" w:afterAutospacing="0" w:line="276" w:lineRule="auto"/>
              <w:ind w:left="714" w:hanging="357"/>
              <w:rPr>
                <w:rFonts w:ascii="Arial" w:hAnsi="Arial" w:cs="Arial"/>
                <w:b/>
                <w:bCs/>
                <w:color w:val="1F3864" w:themeColor="accent1" w:themeShade="80"/>
                <w:sz w:val="20"/>
                <w:szCs w:val="20"/>
              </w:rPr>
            </w:pPr>
            <w:r w:rsidRPr="00057644">
              <w:rPr>
                <w:rFonts w:ascii="Arial" w:hAnsi="Arial" w:cs="Arial"/>
                <w:b/>
                <w:bCs/>
                <w:color w:val="1F3864" w:themeColor="accent1" w:themeShade="80"/>
                <w:sz w:val="20"/>
                <w:szCs w:val="20"/>
              </w:rPr>
              <w:t>AIF-ovi</w:t>
            </w:r>
          </w:p>
        </w:tc>
        <w:tc>
          <w:tcPr>
            <w:tcW w:w="3984" w:type="pct"/>
            <w:tcBorders>
              <w:top w:val="single" w:sz="4" w:space="0" w:color="auto"/>
              <w:bottom w:val="single" w:sz="4" w:space="0" w:color="auto"/>
            </w:tcBorders>
            <w:shd w:val="clear" w:color="auto" w:fill="auto"/>
            <w:hideMark/>
          </w:tcPr>
          <w:p w14:paraId="4892CC85" w14:textId="77777777"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Prihvatljivi AIF-ovi: </w:t>
            </w:r>
          </w:p>
          <w:p w14:paraId="42BCDFE2" w14:textId="77777777" w:rsidR="00AD577A" w:rsidRPr="00057644" w:rsidRDefault="00AD577A" w:rsidP="00AD577A">
            <w:pPr>
              <w:pStyle w:val="paragraph"/>
              <w:numPr>
                <w:ilvl w:val="0"/>
                <w:numId w:val="40"/>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AIF-ovi u postupku osnivanja ili postojeći AIF-ovi; </w:t>
            </w:r>
          </w:p>
          <w:p w14:paraId="62E5CB93" w14:textId="77777777" w:rsidR="00AD577A" w:rsidRPr="00057644" w:rsidRDefault="00AD577A" w:rsidP="00AD577A">
            <w:pPr>
              <w:pStyle w:val="paragraph"/>
              <w:numPr>
                <w:ilvl w:val="0"/>
                <w:numId w:val="40"/>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osnovani u EU ili će biti osnovani u EU;</w:t>
            </w:r>
          </w:p>
          <w:p w14:paraId="24BFA484" w14:textId="77777777" w:rsidR="00AD577A" w:rsidRPr="00057644" w:rsidRDefault="00AD577A" w:rsidP="00AD577A">
            <w:pPr>
              <w:pStyle w:val="paragraph"/>
              <w:numPr>
                <w:ilvl w:val="0"/>
                <w:numId w:val="40"/>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imaju definirano investicijsko razdoblje u skladu s tržišnom praksom (uobičajeno je 5 godina, uz mogućnost produžetka trajanja sukladno ugovornoj dokumentaciji AIF-a);  </w:t>
            </w:r>
          </w:p>
          <w:p w14:paraId="671714D2" w14:textId="77777777" w:rsidR="00AD577A" w:rsidRPr="00057644" w:rsidRDefault="00AD577A" w:rsidP="00AD577A">
            <w:pPr>
              <w:pStyle w:val="paragraph"/>
              <w:numPr>
                <w:ilvl w:val="0"/>
                <w:numId w:val="40"/>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imaju ograničeno trajanje (uobičajeno ne prelazi 10 godina, uz mogućnost produžetka trajanja sukladno ugovornoj dokumentaciji AIF-a).</w:t>
            </w:r>
          </w:p>
        </w:tc>
      </w:tr>
      <w:tr w:rsidR="00AD577A" w:rsidRPr="00057644" w14:paraId="7B23CEAE" w14:textId="77777777" w:rsidTr="00083BDB">
        <w:trPr>
          <w:trHeight w:val="300"/>
        </w:trPr>
        <w:tc>
          <w:tcPr>
            <w:tcW w:w="1016" w:type="pct"/>
            <w:tcBorders>
              <w:top w:val="single" w:sz="4" w:space="0" w:color="auto"/>
            </w:tcBorders>
            <w:shd w:val="clear" w:color="auto" w:fill="auto"/>
            <w:hideMark/>
          </w:tcPr>
          <w:p w14:paraId="7A33A85E" w14:textId="77777777" w:rsidR="00AD577A" w:rsidRPr="00057644" w:rsidRDefault="00AD577A" w:rsidP="00AD577A">
            <w:pPr>
              <w:pStyle w:val="paragraph"/>
              <w:numPr>
                <w:ilvl w:val="0"/>
                <w:numId w:val="22"/>
              </w:numPr>
              <w:spacing w:before="120" w:beforeAutospacing="0" w:after="0" w:afterAutospacing="0" w:line="276" w:lineRule="auto"/>
              <w:ind w:left="714" w:hanging="357"/>
              <w:rPr>
                <w:rFonts w:ascii="Arial" w:hAnsi="Arial" w:cs="Arial"/>
                <w:b/>
                <w:bCs/>
                <w:color w:val="1F3864" w:themeColor="accent1" w:themeShade="80"/>
                <w:sz w:val="20"/>
                <w:szCs w:val="20"/>
              </w:rPr>
            </w:pPr>
            <w:r w:rsidRPr="00057644">
              <w:rPr>
                <w:rFonts w:ascii="Arial" w:hAnsi="Arial" w:cs="Arial"/>
                <w:b/>
                <w:bCs/>
                <w:color w:val="1F3864" w:themeColor="accent1" w:themeShade="80"/>
                <w:sz w:val="20"/>
                <w:szCs w:val="20"/>
              </w:rPr>
              <w:t>Financijski posrednici</w:t>
            </w:r>
          </w:p>
        </w:tc>
        <w:tc>
          <w:tcPr>
            <w:tcW w:w="3984" w:type="pct"/>
            <w:tcBorders>
              <w:top w:val="single" w:sz="4" w:space="0" w:color="auto"/>
            </w:tcBorders>
            <w:shd w:val="clear" w:color="auto" w:fill="auto"/>
            <w:hideMark/>
          </w:tcPr>
          <w:p w14:paraId="2ACF076D" w14:textId="77777777" w:rsidR="00AD577A" w:rsidRPr="00057644" w:rsidRDefault="00AD577A" w:rsidP="00083BDB">
            <w:pPr>
              <w:pStyle w:val="paragraph"/>
              <w:spacing w:beforeLines="60" w:before="144" w:beforeAutospacing="0" w:afterLines="60" w:after="144" w:afterAutospacing="0" w:line="276" w:lineRule="auto"/>
              <w:ind w:right="86"/>
              <w:jc w:val="both"/>
              <w:rPr>
                <w:rFonts w:ascii="Arial" w:hAnsi="Arial" w:cs="Arial"/>
                <w:sz w:val="20"/>
                <w:szCs w:val="20"/>
              </w:rPr>
            </w:pPr>
            <w:r w:rsidRPr="00057644">
              <w:rPr>
                <w:rFonts w:ascii="Arial" w:hAnsi="Arial" w:cs="Arial"/>
                <w:sz w:val="20"/>
                <w:szCs w:val="20"/>
              </w:rPr>
              <w:t>Financijski posrednici su društva koja upravljaju AIF-om ili druge pravne osobe koje savjetuju AIF i/ili društvo posebne namjene s ciljem provedbe ulaganja u vlasničko i kvazi-vlasničko financiranje Krajnjih korisnika.</w:t>
            </w:r>
          </w:p>
          <w:p w14:paraId="635C9C04" w14:textId="77777777"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 xml:space="preserve">Financijski posrednik mora zadovoljiti sljedeće </w:t>
            </w:r>
            <w:r w:rsidRPr="00057644">
              <w:rPr>
                <w:rFonts w:ascii="Arial" w:hAnsi="Arial" w:cs="Arial"/>
                <w:sz w:val="20"/>
                <w:szCs w:val="20"/>
                <w:u w:val="single"/>
              </w:rPr>
              <w:t>osnovne uvjete</w:t>
            </w:r>
            <w:r w:rsidRPr="00057644">
              <w:rPr>
                <w:rFonts w:ascii="Arial" w:hAnsi="Arial" w:cs="Arial"/>
                <w:sz w:val="20"/>
                <w:szCs w:val="20"/>
              </w:rPr>
              <w:t>:</w:t>
            </w:r>
          </w:p>
          <w:p w14:paraId="72DA20DD" w14:textId="77777777" w:rsidR="00AD577A" w:rsidRPr="00057644" w:rsidRDefault="00AD577A" w:rsidP="00AD577A">
            <w:pPr>
              <w:pStyle w:val="paragraph"/>
              <w:numPr>
                <w:ilvl w:val="0"/>
                <w:numId w:val="23"/>
              </w:numPr>
              <w:spacing w:beforeLines="60" w:before="144" w:beforeAutospacing="0" w:afterLines="60" w:after="144" w:afterAutospacing="0" w:line="276" w:lineRule="auto"/>
              <w:ind w:right="86"/>
              <w:jc w:val="both"/>
              <w:rPr>
                <w:rFonts w:ascii="Arial" w:hAnsi="Arial" w:cs="Arial"/>
                <w:sz w:val="20"/>
                <w:szCs w:val="20"/>
              </w:rPr>
            </w:pPr>
            <w:r w:rsidRPr="00057644">
              <w:rPr>
                <w:rFonts w:ascii="Arial" w:hAnsi="Arial" w:cs="Arial"/>
                <w:sz w:val="20"/>
                <w:szCs w:val="20"/>
              </w:rPr>
              <w:t>članovi upravljačkog tima Financijskog posrednika moraju uložiti vlastita sredstva u AIF; </w:t>
            </w:r>
          </w:p>
          <w:p w14:paraId="352BAF34" w14:textId="77777777" w:rsidR="00AD577A" w:rsidRPr="00057644" w:rsidRDefault="00AD577A" w:rsidP="00AD577A">
            <w:pPr>
              <w:pStyle w:val="paragraph"/>
              <w:numPr>
                <w:ilvl w:val="0"/>
                <w:numId w:val="23"/>
              </w:numPr>
              <w:spacing w:beforeLines="60" w:before="144" w:beforeAutospacing="0" w:afterLines="60" w:after="144" w:afterAutospacing="0" w:line="276" w:lineRule="auto"/>
              <w:ind w:right="86"/>
              <w:jc w:val="both"/>
              <w:rPr>
                <w:rFonts w:ascii="Arial" w:hAnsi="Arial" w:cs="Arial"/>
                <w:sz w:val="20"/>
                <w:szCs w:val="20"/>
              </w:rPr>
            </w:pPr>
            <w:r w:rsidRPr="00057644">
              <w:rPr>
                <w:rFonts w:ascii="Arial" w:hAnsi="Arial" w:cs="Arial"/>
                <w:sz w:val="20"/>
                <w:szCs w:val="20"/>
              </w:rPr>
              <w:t>svi ulagatelji u AIF moraju imati jednake uvjete ulaganja (</w:t>
            </w:r>
            <w:r w:rsidRPr="00057644">
              <w:rPr>
                <w:rFonts w:ascii="Arial" w:hAnsi="Arial" w:cs="Arial"/>
                <w:i/>
                <w:iCs/>
                <w:sz w:val="20"/>
                <w:szCs w:val="20"/>
              </w:rPr>
              <w:t>pari-passu</w:t>
            </w:r>
            <w:r w:rsidRPr="00057644">
              <w:rPr>
                <w:rFonts w:ascii="Arial" w:hAnsi="Arial" w:cs="Arial"/>
                <w:sz w:val="20"/>
                <w:szCs w:val="20"/>
              </w:rPr>
              <w:t xml:space="preserve"> načelo); </w:t>
            </w:r>
          </w:p>
          <w:p w14:paraId="67ED2D8A" w14:textId="77777777" w:rsidR="00AD577A" w:rsidRPr="00057644" w:rsidRDefault="00AD577A" w:rsidP="00AD577A">
            <w:pPr>
              <w:pStyle w:val="paragraph"/>
              <w:numPr>
                <w:ilvl w:val="0"/>
                <w:numId w:val="23"/>
              </w:numPr>
              <w:spacing w:beforeLines="60" w:before="144" w:beforeAutospacing="0" w:afterLines="60" w:after="144" w:afterAutospacing="0" w:line="276" w:lineRule="auto"/>
              <w:ind w:right="86"/>
              <w:jc w:val="both"/>
              <w:rPr>
                <w:rFonts w:ascii="Arial" w:hAnsi="Arial" w:cs="Arial"/>
                <w:sz w:val="20"/>
                <w:szCs w:val="20"/>
              </w:rPr>
            </w:pPr>
            <w:r w:rsidRPr="00057644">
              <w:rPr>
                <w:rFonts w:ascii="Arial" w:hAnsi="Arial" w:cs="Arial"/>
                <w:sz w:val="20"/>
                <w:szCs w:val="20"/>
              </w:rPr>
              <w:lastRenderedPageBreak/>
              <w:t>Financijski posrednik mora osigurati ulaganje Privatnih ulagatelja u iznosu koji odgovara minimalno 30% ukupne veličine AIF-a;</w:t>
            </w:r>
          </w:p>
          <w:p w14:paraId="10F8E432" w14:textId="77777777" w:rsidR="00AD577A" w:rsidRPr="00057644" w:rsidRDefault="00AD577A" w:rsidP="00AD577A">
            <w:pPr>
              <w:pStyle w:val="paragraph"/>
              <w:numPr>
                <w:ilvl w:val="0"/>
                <w:numId w:val="23"/>
              </w:numPr>
              <w:spacing w:beforeLines="60" w:before="144" w:beforeAutospacing="0" w:afterLines="60" w:after="144" w:afterAutospacing="0" w:line="276" w:lineRule="auto"/>
              <w:ind w:right="86"/>
              <w:jc w:val="both"/>
              <w:rPr>
                <w:rFonts w:ascii="Arial" w:hAnsi="Arial" w:cs="Arial"/>
                <w:sz w:val="20"/>
                <w:szCs w:val="20"/>
              </w:rPr>
            </w:pPr>
            <w:r w:rsidRPr="00057644">
              <w:rPr>
                <w:rFonts w:ascii="Arial" w:hAnsi="Arial" w:cs="Arial"/>
                <w:sz w:val="20"/>
                <w:szCs w:val="20"/>
              </w:rPr>
              <w:t xml:space="preserve">obveza na uplatu (engl. </w:t>
            </w:r>
            <w:r w:rsidRPr="00057644">
              <w:rPr>
                <w:rFonts w:ascii="Arial" w:hAnsi="Arial" w:cs="Arial"/>
                <w:i/>
                <w:iCs/>
                <w:sz w:val="20"/>
                <w:szCs w:val="20"/>
                <w:lang w:val="en-US"/>
              </w:rPr>
              <w:t>commitment</w:t>
            </w:r>
            <w:r w:rsidRPr="00057644">
              <w:rPr>
                <w:rFonts w:ascii="Arial" w:hAnsi="Arial" w:cs="Arial"/>
                <w:sz w:val="20"/>
                <w:szCs w:val="20"/>
              </w:rPr>
              <w:t>) bilo kojeg ulagatelja neće prelaziti 50% ukupne veličine AIF-a, osim u slučaju osnivanja fonda za transfer tehnologija gdje udio pojedinačnog ulagatelja može biti veći;</w:t>
            </w:r>
          </w:p>
          <w:p w14:paraId="37571C92" w14:textId="77777777" w:rsidR="00AD577A" w:rsidRPr="00057644" w:rsidRDefault="00AD577A" w:rsidP="00AD577A">
            <w:pPr>
              <w:pStyle w:val="paragraph"/>
              <w:numPr>
                <w:ilvl w:val="0"/>
                <w:numId w:val="23"/>
              </w:numPr>
              <w:spacing w:beforeLines="60" w:before="144" w:beforeAutospacing="0" w:afterLines="60" w:after="144" w:afterAutospacing="0" w:line="276" w:lineRule="auto"/>
              <w:ind w:right="86"/>
              <w:jc w:val="both"/>
              <w:rPr>
                <w:rFonts w:ascii="Arial" w:hAnsi="Arial" w:cs="Arial"/>
                <w:sz w:val="20"/>
                <w:szCs w:val="20"/>
              </w:rPr>
            </w:pPr>
            <w:r w:rsidRPr="00057644">
              <w:rPr>
                <w:rFonts w:ascii="Arial" w:hAnsi="Arial" w:cs="Arial"/>
                <w:sz w:val="20"/>
                <w:szCs w:val="20"/>
              </w:rPr>
              <w:t>kao dio strategije ulaganja AIF-a imaju namjeru uložiti najmanje iznos HBOR-ove obveze na uplatu u područja koja su navedena u Prilogu II. Uredbe o uspostavi programa InvestEU</w:t>
            </w:r>
            <w:r w:rsidRPr="00057644">
              <w:rPr>
                <w:rStyle w:val="Referencafusnote"/>
                <w:rFonts w:ascii="Arial" w:eastAsiaTheme="majorEastAsia" w:hAnsi="Arial" w:cs="Arial"/>
                <w:sz w:val="20"/>
                <w:szCs w:val="20"/>
              </w:rPr>
              <w:footnoteReference w:id="4"/>
            </w:r>
            <w:r w:rsidRPr="00057644">
              <w:rPr>
                <w:rFonts w:ascii="Arial" w:hAnsi="Arial" w:cs="Arial"/>
                <w:sz w:val="20"/>
                <w:szCs w:val="20"/>
              </w:rPr>
              <w:t xml:space="preserve">; </w:t>
            </w:r>
          </w:p>
          <w:p w14:paraId="23EFCEAE" w14:textId="77777777" w:rsidR="00AD577A" w:rsidRPr="00057644" w:rsidRDefault="00AD577A" w:rsidP="00AD577A">
            <w:pPr>
              <w:pStyle w:val="paragraph"/>
              <w:numPr>
                <w:ilvl w:val="0"/>
                <w:numId w:val="23"/>
              </w:numPr>
              <w:spacing w:before="0" w:beforeAutospacing="0" w:after="0" w:afterAutospacing="0" w:line="276" w:lineRule="auto"/>
              <w:ind w:left="714" w:right="85" w:hanging="357"/>
              <w:jc w:val="both"/>
              <w:rPr>
                <w:rFonts w:ascii="Arial" w:hAnsi="Arial" w:cs="Arial"/>
                <w:sz w:val="20"/>
                <w:szCs w:val="20"/>
              </w:rPr>
            </w:pPr>
            <w:r w:rsidRPr="00057644">
              <w:rPr>
                <w:rFonts w:ascii="Arial" w:hAnsi="Arial" w:cs="Arial"/>
                <w:sz w:val="20"/>
                <w:szCs w:val="20"/>
              </w:rPr>
              <w:t>kao dio strategije ulaganja AIF-a imaju namjeru uložiti u Krajnje korisnike koji su u trenutku prvog ulaganja AIF-a u njih osnovani u RH i najveći dio poslovanja obavljaju u RH ili planiraju ulaganje kojim će započeti dugoročno poslovanje u RH (naznačeno npr. značajnom radnom snagom u RH ili na drugi način). Iznos ulaganja u takve Krajnje korisnike mora odgovarati jednom od sljedeća dva kriterija:</w:t>
            </w:r>
          </w:p>
          <w:p w14:paraId="41D8A12F" w14:textId="77777777" w:rsidR="00AD577A" w:rsidRPr="00057644" w:rsidRDefault="00AD577A" w:rsidP="00AD577A">
            <w:pPr>
              <w:pStyle w:val="paragraph"/>
              <w:numPr>
                <w:ilvl w:val="0"/>
                <w:numId w:val="24"/>
              </w:numPr>
              <w:spacing w:before="0" w:beforeAutospacing="0" w:after="0" w:afterAutospacing="0" w:line="276" w:lineRule="auto"/>
              <w:ind w:left="1066" w:right="85" w:hanging="357"/>
              <w:jc w:val="both"/>
              <w:rPr>
                <w:rFonts w:ascii="Arial" w:hAnsi="Arial" w:cs="Arial"/>
                <w:sz w:val="20"/>
                <w:szCs w:val="20"/>
              </w:rPr>
            </w:pPr>
            <w:r w:rsidRPr="00057644">
              <w:rPr>
                <w:rFonts w:ascii="Arial" w:hAnsi="Arial" w:cs="Arial"/>
                <w:sz w:val="20"/>
                <w:szCs w:val="20"/>
              </w:rPr>
              <w:t xml:space="preserve">70% ukupne veličine AIF-a, ili </w:t>
            </w:r>
          </w:p>
          <w:p w14:paraId="2EAC55DA" w14:textId="77777777" w:rsidR="00AD577A" w:rsidRPr="00057644" w:rsidRDefault="00AD577A" w:rsidP="00AD577A">
            <w:pPr>
              <w:pStyle w:val="paragraph"/>
              <w:numPr>
                <w:ilvl w:val="0"/>
                <w:numId w:val="24"/>
              </w:numPr>
              <w:spacing w:before="0" w:beforeAutospacing="0" w:after="0" w:afterAutospacing="0" w:line="276" w:lineRule="auto"/>
              <w:ind w:left="1066" w:right="85" w:hanging="357"/>
              <w:jc w:val="both"/>
              <w:rPr>
                <w:rFonts w:ascii="Arial" w:hAnsi="Arial" w:cs="Arial"/>
                <w:sz w:val="20"/>
                <w:szCs w:val="20"/>
              </w:rPr>
            </w:pPr>
            <w:r w:rsidRPr="00057644">
              <w:rPr>
                <w:rFonts w:ascii="Arial" w:hAnsi="Arial" w:cs="Arial"/>
                <w:sz w:val="20"/>
                <w:szCs w:val="20"/>
              </w:rPr>
              <w:t xml:space="preserve">dvostruki iznos HBOR-ove obveze na uplatu u AIF (na jedan euro HBOR-ove obveze na uplatu, AIF mora uložiti dodatno minimalno jedan euro).   </w:t>
            </w:r>
          </w:p>
          <w:p w14:paraId="24665481" w14:textId="77777777" w:rsidR="00AD577A" w:rsidRPr="00057644" w:rsidRDefault="00AD577A" w:rsidP="00AD577A">
            <w:pPr>
              <w:pStyle w:val="Odlomakpopisa"/>
              <w:numPr>
                <w:ilvl w:val="0"/>
                <w:numId w:val="23"/>
              </w:numPr>
              <w:spacing w:beforeLines="60" w:before="144" w:afterLines="60" w:after="144" w:line="276" w:lineRule="auto"/>
              <w:ind w:left="714" w:right="85" w:hanging="357"/>
              <w:jc w:val="both"/>
              <w:rPr>
                <w:rFonts w:eastAsia="Times New Roman" w:cs="Arial"/>
                <w:szCs w:val="20"/>
                <w:lang w:eastAsia="hr-HR"/>
              </w:rPr>
            </w:pPr>
            <w:r w:rsidRPr="00057644">
              <w:rPr>
                <w:rFonts w:eastAsia="Times New Roman" w:cs="Arial"/>
                <w:szCs w:val="20"/>
                <w:lang w:eastAsia="hr-HR"/>
              </w:rPr>
              <w:t>mora poznavati hrvatsko poslovno okruženje, a poželjno je osigurati prisutnost na tržištu RH osnivanjem podružnica ili ureda u RH s odgovarajućim timom koji uključuje investicijske stručnjake smještene u RH koji su u mogućnosti djelovati u hrvatskom poslovnom okruženju (uključujući odgovarajuće poznavanje jezika) za cijelo vrijeme trajanja AIF-a;</w:t>
            </w:r>
          </w:p>
          <w:p w14:paraId="04C49735" w14:textId="77777777" w:rsidR="00AD577A" w:rsidRPr="00057644" w:rsidRDefault="00AD577A" w:rsidP="00AD577A">
            <w:pPr>
              <w:pStyle w:val="paragraph"/>
              <w:numPr>
                <w:ilvl w:val="0"/>
                <w:numId w:val="23"/>
              </w:numPr>
              <w:spacing w:beforeLines="60" w:before="144" w:beforeAutospacing="0" w:afterLines="60" w:after="144" w:afterAutospacing="0" w:line="276" w:lineRule="auto"/>
              <w:ind w:left="714" w:right="85" w:hanging="357"/>
              <w:jc w:val="both"/>
              <w:rPr>
                <w:rFonts w:ascii="Arial" w:hAnsi="Arial" w:cs="Arial"/>
                <w:sz w:val="20"/>
                <w:szCs w:val="20"/>
              </w:rPr>
            </w:pPr>
            <w:r w:rsidRPr="00057644">
              <w:rPr>
                <w:rFonts w:ascii="Arial" w:hAnsi="Arial" w:cs="Arial"/>
                <w:sz w:val="20"/>
                <w:szCs w:val="20"/>
              </w:rPr>
              <w:t>mora biti osnovan u EU ili će biti osnovan u EU;</w:t>
            </w:r>
          </w:p>
          <w:p w14:paraId="04E98487" w14:textId="77777777" w:rsidR="00AD577A" w:rsidRPr="00057644" w:rsidRDefault="00AD577A" w:rsidP="00AD577A">
            <w:pPr>
              <w:pStyle w:val="paragraph"/>
              <w:numPr>
                <w:ilvl w:val="0"/>
                <w:numId w:val="23"/>
              </w:numPr>
              <w:spacing w:beforeLines="60" w:before="144" w:beforeAutospacing="0" w:afterLines="60" w:after="144" w:afterAutospacing="0" w:line="276" w:lineRule="auto"/>
              <w:ind w:left="714" w:right="85" w:hanging="357"/>
              <w:jc w:val="both"/>
              <w:rPr>
                <w:rFonts w:ascii="Arial" w:hAnsi="Arial" w:cs="Arial"/>
                <w:sz w:val="20"/>
                <w:szCs w:val="20"/>
              </w:rPr>
            </w:pPr>
            <w:r w:rsidRPr="00057644">
              <w:rPr>
                <w:rFonts w:ascii="Arial" w:hAnsi="Arial" w:cs="Arial"/>
                <w:sz w:val="20"/>
                <w:szCs w:val="20"/>
              </w:rPr>
              <w:t xml:space="preserve">ima razvijen ili razvijaju ili su voljni razviti ESMS (engl. </w:t>
            </w:r>
            <w:proofErr w:type="spellStart"/>
            <w:r w:rsidRPr="00057644">
              <w:rPr>
                <w:rFonts w:ascii="Arial" w:hAnsi="Arial" w:cs="Arial"/>
                <w:sz w:val="20"/>
                <w:szCs w:val="20"/>
              </w:rPr>
              <w:t>Environmental</w:t>
            </w:r>
            <w:proofErr w:type="spellEnd"/>
            <w:r w:rsidRPr="00057644">
              <w:rPr>
                <w:rFonts w:ascii="Arial" w:hAnsi="Arial" w:cs="Arial"/>
                <w:sz w:val="20"/>
                <w:szCs w:val="20"/>
              </w:rPr>
              <w:t xml:space="preserve"> </w:t>
            </w:r>
            <w:proofErr w:type="spellStart"/>
            <w:r w:rsidRPr="00057644">
              <w:rPr>
                <w:rFonts w:ascii="Arial" w:hAnsi="Arial" w:cs="Arial"/>
                <w:sz w:val="20"/>
                <w:szCs w:val="20"/>
              </w:rPr>
              <w:t>and</w:t>
            </w:r>
            <w:proofErr w:type="spellEnd"/>
            <w:r w:rsidRPr="00057644">
              <w:rPr>
                <w:rFonts w:ascii="Arial" w:hAnsi="Arial" w:cs="Arial"/>
                <w:sz w:val="20"/>
                <w:szCs w:val="20"/>
              </w:rPr>
              <w:t xml:space="preserve"> </w:t>
            </w:r>
            <w:proofErr w:type="spellStart"/>
            <w:r w:rsidRPr="00057644">
              <w:rPr>
                <w:rFonts w:ascii="Arial" w:hAnsi="Arial" w:cs="Arial"/>
                <w:sz w:val="20"/>
                <w:szCs w:val="20"/>
              </w:rPr>
              <w:t>Social</w:t>
            </w:r>
            <w:proofErr w:type="spellEnd"/>
            <w:r w:rsidRPr="00057644">
              <w:rPr>
                <w:rFonts w:ascii="Arial" w:hAnsi="Arial" w:cs="Arial"/>
                <w:sz w:val="20"/>
                <w:szCs w:val="20"/>
              </w:rPr>
              <w:t xml:space="preserve"> Management System) ili ESG (engl. „</w:t>
            </w:r>
            <w:proofErr w:type="spellStart"/>
            <w:r w:rsidRPr="00057644">
              <w:rPr>
                <w:rFonts w:ascii="Arial" w:hAnsi="Arial" w:cs="Arial"/>
                <w:sz w:val="20"/>
                <w:szCs w:val="20"/>
              </w:rPr>
              <w:t>Environmental</w:t>
            </w:r>
            <w:proofErr w:type="spellEnd"/>
            <w:r w:rsidRPr="00057644">
              <w:rPr>
                <w:rFonts w:ascii="Arial" w:hAnsi="Arial" w:cs="Arial"/>
                <w:sz w:val="20"/>
                <w:szCs w:val="20"/>
              </w:rPr>
              <w:t xml:space="preserve">, </w:t>
            </w:r>
            <w:proofErr w:type="spellStart"/>
            <w:r w:rsidRPr="00057644">
              <w:rPr>
                <w:rFonts w:ascii="Arial" w:hAnsi="Arial" w:cs="Arial"/>
                <w:sz w:val="20"/>
                <w:szCs w:val="20"/>
              </w:rPr>
              <w:t>Social</w:t>
            </w:r>
            <w:proofErr w:type="spellEnd"/>
            <w:r w:rsidRPr="00057644">
              <w:rPr>
                <w:rFonts w:ascii="Arial" w:hAnsi="Arial" w:cs="Arial"/>
                <w:sz w:val="20"/>
                <w:szCs w:val="20"/>
              </w:rPr>
              <w:t xml:space="preserve"> </w:t>
            </w:r>
            <w:proofErr w:type="spellStart"/>
            <w:r w:rsidRPr="00057644">
              <w:rPr>
                <w:rFonts w:ascii="Arial" w:hAnsi="Arial" w:cs="Arial"/>
                <w:sz w:val="20"/>
                <w:szCs w:val="20"/>
              </w:rPr>
              <w:t>and</w:t>
            </w:r>
            <w:proofErr w:type="spellEnd"/>
            <w:r w:rsidRPr="00057644">
              <w:rPr>
                <w:rFonts w:ascii="Arial" w:hAnsi="Arial" w:cs="Arial"/>
                <w:sz w:val="20"/>
                <w:szCs w:val="20"/>
              </w:rPr>
              <w:t xml:space="preserve"> </w:t>
            </w:r>
            <w:proofErr w:type="spellStart"/>
            <w:r w:rsidRPr="00057644">
              <w:rPr>
                <w:rFonts w:ascii="Arial" w:hAnsi="Arial" w:cs="Arial"/>
                <w:sz w:val="20"/>
                <w:szCs w:val="20"/>
              </w:rPr>
              <w:t>Governance</w:t>
            </w:r>
            <w:proofErr w:type="spellEnd"/>
            <w:r w:rsidRPr="00057644">
              <w:rPr>
                <w:rFonts w:ascii="Arial" w:hAnsi="Arial" w:cs="Arial"/>
                <w:sz w:val="20"/>
                <w:szCs w:val="20"/>
              </w:rPr>
              <w:t>“) upravljački okvir koji će koristiti tijekom životnog ciklusa AIF-a;</w:t>
            </w:r>
          </w:p>
          <w:p w14:paraId="0D8DF255" w14:textId="77777777" w:rsidR="00AD577A" w:rsidRPr="00057644" w:rsidRDefault="00AD577A" w:rsidP="00AD577A">
            <w:pPr>
              <w:pStyle w:val="paragraph"/>
              <w:numPr>
                <w:ilvl w:val="0"/>
                <w:numId w:val="23"/>
              </w:numPr>
              <w:spacing w:beforeLines="60" w:before="144" w:beforeAutospacing="0" w:afterLines="60" w:after="144" w:afterAutospacing="0" w:line="276" w:lineRule="auto"/>
              <w:ind w:left="714" w:right="85" w:hanging="357"/>
              <w:jc w:val="both"/>
              <w:rPr>
                <w:rFonts w:ascii="Arial" w:hAnsi="Arial" w:cs="Arial"/>
                <w:sz w:val="20"/>
                <w:szCs w:val="20"/>
              </w:rPr>
            </w:pPr>
            <w:r w:rsidRPr="00057644">
              <w:rPr>
                <w:rFonts w:ascii="Arial" w:hAnsi="Arial" w:cs="Arial"/>
                <w:sz w:val="20"/>
                <w:szCs w:val="20"/>
              </w:rPr>
              <w:t xml:space="preserve">kod ulaganja u Krajnje korisnike, kada je primjenjivo, provesti sve potrebne procjene tako da takvo ulaganje ne nanosi bitnu štetu (engl. </w:t>
            </w:r>
            <w:r w:rsidRPr="00057644">
              <w:rPr>
                <w:rFonts w:ascii="Arial" w:hAnsi="Arial" w:cs="Arial"/>
                <w:i/>
                <w:iCs/>
                <w:sz w:val="20"/>
                <w:szCs w:val="20"/>
                <w:lang w:val="en-US"/>
              </w:rPr>
              <w:t>Do No Significant Harm</w:t>
            </w:r>
            <w:r w:rsidRPr="00057644">
              <w:rPr>
                <w:rFonts w:ascii="Arial" w:hAnsi="Arial" w:cs="Arial"/>
                <w:sz w:val="20"/>
                <w:szCs w:val="20"/>
              </w:rPr>
              <w:t>; skraćenica: DNSH) ekološkim ciljevima EU u smislu načela nenanošenja bitne štete sukladno članku 17. Uredbe (EU) 2020/852</w:t>
            </w:r>
            <w:r w:rsidRPr="00057644">
              <w:rPr>
                <w:rFonts w:ascii="Arial" w:hAnsi="Arial" w:cs="Arial"/>
                <w:sz w:val="20"/>
                <w:szCs w:val="20"/>
                <w:vertAlign w:val="superscript"/>
              </w:rPr>
              <w:footnoteReference w:id="5"/>
            </w:r>
            <w:r w:rsidRPr="00057644">
              <w:rPr>
                <w:rFonts w:ascii="Arial" w:hAnsi="Arial" w:cs="Arial"/>
                <w:sz w:val="20"/>
                <w:szCs w:val="20"/>
              </w:rPr>
              <w:t>.</w:t>
            </w:r>
          </w:p>
          <w:p w14:paraId="19965EB4" w14:textId="77777777" w:rsidR="00AD577A" w:rsidRDefault="00AD577A" w:rsidP="00083BDB">
            <w:pPr>
              <w:pStyle w:val="paragraph"/>
              <w:spacing w:beforeLines="60" w:before="144" w:beforeAutospacing="0" w:afterLines="60" w:after="144" w:afterAutospacing="0" w:line="276" w:lineRule="auto"/>
              <w:ind w:right="86"/>
              <w:jc w:val="both"/>
              <w:rPr>
                <w:rFonts w:ascii="Arial" w:hAnsi="Arial" w:cs="Arial"/>
                <w:sz w:val="20"/>
                <w:szCs w:val="20"/>
              </w:rPr>
            </w:pPr>
            <w:r w:rsidRPr="00057644">
              <w:rPr>
                <w:rFonts w:ascii="Arial" w:hAnsi="Arial" w:cs="Arial"/>
                <w:sz w:val="20"/>
                <w:szCs w:val="20"/>
              </w:rPr>
              <w:t xml:space="preserve">HBOR-ova obveza na uplatu u AIF u pravilu će biti najmanje 7,5% ukupne veličine AIF-a, a najviše 25% ukupne veličine AIF-a. </w:t>
            </w:r>
          </w:p>
          <w:p w14:paraId="5A7DFEAD" w14:textId="77777777" w:rsidR="009274EB" w:rsidRDefault="009274EB" w:rsidP="00083BDB">
            <w:pPr>
              <w:pStyle w:val="paragraph"/>
              <w:spacing w:beforeLines="60" w:before="144" w:beforeAutospacing="0" w:afterLines="60" w:after="144" w:afterAutospacing="0" w:line="276" w:lineRule="auto"/>
              <w:ind w:right="86"/>
              <w:jc w:val="both"/>
              <w:rPr>
                <w:rFonts w:ascii="Arial" w:hAnsi="Arial" w:cs="Arial"/>
                <w:sz w:val="20"/>
                <w:szCs w:val="20"/>
              </w:rPr>
            </w:pPr>
          </w:p>
          <w:p w14:paraId="507A866C" w14:textId="77777777" w:rsidR="009274EB" w:rsidRDefault="009274EB" w:rsidP="00083BDB">
            <w:pPr>
              <w:pStyle w:val="paragraph"/>
              <w:spacing w:beforeLines="60" w:before="144" w:beforeAutospacing="0" w:afterLines="60" w:after="144" w:afterAutospacing="0" w:line="276" w:lineRule="auto"/>
              <w:ind w:right="86"/>
              <w:jc w:val="both"/>
              <w:rPr>
                <w:rFonts w:ascii="Arial" w:hAnsi="Arial" w:cs="Arial"/>
                <w:sz w:val="20"/>
                <w:szCs w:val="20"/>
              </w:rPr>
            </w:pPr>
          </w:p>
          <w:p w14:paraId="6599E879" w14:textId="77777777" w:rsidR="009274EB" w:rsidRDefault="009274EB" w:rsidP="00083BDB">
            <w:pPr>
              <w:pStyle w:val="paragraph"/>
              <w:spacing w:beforeLines="60" w:before="144" w:beforeAutospacing="0" w:afterLines="60" w:after="144" w:afterAutospacing="0" w:line="276" w:lineRule="auto"/>
              <w:ind w:right="86"/>
              <w:jc w:val="both"/>
              <w:rPr>
                <w:rFonts w:ascii="Arial" w:hAnsi="Arial" w:cs="Arial"/>
                <w:sz w:val="20"/>
                <w:szCs w:val="20"/>
              </w:rPr>
            </w:pPr>
          </w:p>
          <w:p w14:paraId="11822499" w14:textId="77777777" w:rsidR="009274EB" w:rsidRPr="00057644" w:rsidRDefault="009274EB" w:rsidP="00083BDB">
            <w:pPr>
              <w:pStyle w:val="paragraph"/>
              <w:spacing w:beforeLines="60" w:before="144" w:beforeAutospacing="0" w:afterLines="60" w:after="144" w:afterAutospacing="0" w:line="276" w:lineRule="auto"/>
              <w:ind w:right="86"/>
              <w:jc w:val="both"/>
              <w:rPr>
                <w:rFonts w:ascii="Arial" w:hAnsi="Arial" w:cs="Arial"/>
                <w:sz w:val="20"/>
                <w:szCs w:val="20"/>
              </w:rPr>
            </w:pPr>
          </w:p>
          <w:p w14:paraId="38BBDF3B" w14:textId="77777777" w:rsidR="00AD577A" w:rsidRPr="00057644" w:rsidRDefault="00AD577A" w:rsidP="001342E8">
            <w:pPr>
              <w:pStyle w:val="paragraph"/>
              <w:spacing w:beforeLines="60" w:before="144" w:beforeAutospacing="0" w:afterLines="60" w:after="144" w:afterAutospacing="0" w:line="276" w:lineRule="auto"/>
              <w:ind w:right="86"/>
              <w:jc w:val="both"/>
              <w:rPr>
                <w:rFonts w:ascii="Arial" w:hAnsi="Arial" w:cs="Arial"/>
                <w:sz w:val="20"/>
                <w:szCs w:val="20"/>
              </w:rPr>
            </w:pPr>
            <w:r w:rsidRPr="00057644">
              <w:rPr>
                <w:rFonts w:ascii="Arial" w:hAnsi="Arial" w:cs="Arial"/>
                <w:sz w:val="20"/>
                <w:szCs w:val="20"/>
              </w:rPr>
              <w:lastRenderedPageBreak/>
              <w:t xml:space="preserve">Ukoliko AIF uz osnovne uvjete ispuni neki od niže navedenih </w:t>
            </w:r>
            <w:r w:rsidRPr="00057644">
              <w:rPr>
                <w:rFonts w:ascii="Arial" w:hAnsi="Arial" w:cs="Arial"/>
                <w:sz w:val="20"/>
                <w:szCs w:val="20"/>
                <w:u w:val="single"/>
              </w:rPr>
              <w:t>dodatnih uvjeta</w:t>
            </w:r>
            <w:r w:rsidRPr="00057644">
              <w:rPr>
                <w:rFonts w:ascii="Arial" w:hAnsi="Arial" w:cs="Arial"/>
                <w:sz w:val="20"/>
                <w:szCs w:val="20"/>
              </w:rPr>
              <w:t xml:space="preserve">, HBOR može razmotriti i viši udio HBOR-ove obveze na uplatu u takav AIF, i to: </w:t>
            </w:r>
          </w:p>
          <w:p w14:paraId="1A6FAAFC" w14:textId="77777777" w:rsidR="00AD577A" w:rsidRPr="00057644" w:rsidRDefault="00AD577A" w:rsidP="00AD577A">
            <w:pPr>
              <w:pStyle w:val="paragraph"/>
              <w:numPr>
                <w:ilvl w:val="0"/>
                <w:numId w:val="46"/>
              </w:numPr>
              <w:spacing w:beforeLines="60" w:before="144" w:beforeAutospacing="0" w:after="0" w:afterAutospacing="0" w:line="276" w:lineRule="auto"/>
              <w:ind w:left="714" w:right="85" w:hanging="357"/>
              <w:jc w:val="both"/>
              <w:rPr>
                <w:rFonts w:ascii="Arial" w:hAnsi="Arial" w:cs="Arial"/>
                <w:sz w:val="20"/>
                <w:szCs w:val="20"/>
              </w:rPr>
            </w:pPr>
            <w:r w:rsidRPr="00057644">
              <w:rPr>
                <w:rFonts w:ascii="Arial" w:hAnsi="Arial" w:cs="Arial"/>
                <w:sz w:val="20"/>
                <w:szCs w:val="20"/>
              </w:rPr>
              <w:t xml:space="preserve">do 50% ukupne veličine AIF-a :  </w:t>
            </w:r>
          </w:p>
          <w:p w14:paraId="48FF4323" w14:textId="77777777" w:rsidR="00AD577A" w:rsidRPr="00057644" w:rsidRDefault="00AD577A" w:rsidP="00AD577A">
            <w:pPr>
              <w:pStyle w:val="paragraph"/>
              <w:numPr>
                <w:ilvl w:val="0"/>
                <w:numId w:val="24"/>
              </w:numPr>
              <w:spacing w:before="0" w:beforeAutospacing="0" w:after="0" w:afterAutospacing="0" w:line="276" w:lineRule="auto"/>
              <w:ind w:left="1066" w:right="85" w:hanging="357"/>
              <w:jc w:val="both"/>
              <w:rPr>
                <w:rFonts w:ascii="Arial" w:hAnsi="Arial" w:cs="Arial"/>
                <w:sz w:val="20"/>
                <w:szCs w:val="20"/>
              </w:rPr>
            </w:pPr>
            <w:r w:rsidRPr="00057644">
              <w:rPr>
                <w:rFonts w:ascii="Arial" w:hAnsi="Arial" w:cs="Arial"/>
                <w:sz w:val="20"/>
                <w:szCs w:val="20"/>
              </w:rPr>
              <w:t>ako je strategija ulaganja AIF-a usmjerena na regionalni razvoj (projekte i poduzeća iz gospodarski manje razvijenih područja, npr. potpomognuta područja, otoci i brdsko-planinska područja RH</w:t>
            </w:r>
            <w:r w:rsidRPr="00057644">
              <w:rPr>
                <w:rFonts w:ascii="Arial" w:hAnsi="Arial" w:cs="Arial"/>
                <w:sz w:val="20"/>
                <w:szCs w:val="20"/>
                <w:vertAlign w:val="superscript"/>
              </w:rPr>
              <w:footnoteReference w:id="6"/>
            </w:r>
            <w:r w:rsidRPr="00057644">
              <w:rPr>
                <w:rFonts w:ascii="Arial" w:hAnsi="Arial" w:cs="Arial"/>
                <w:sz w:val="20"/>
                <w:szCs w:val="20"/>
              </w:rPr>
              <w:t>); ili</w:t>
            </w:r>
          </w:p>
          <w:p w14:paraId="03BF7B66" w14:textId="77777777" w:rsidR="00AD577A" w:rsidRPr="00057644" w:rsidRDefault="00AD577A" w:rsidP="00AD577A">
            <w:pPr>
              <w:pStyle w:val="paragraph"/>
              <w:numPr>
                <w:ilvl w:val="0"/>
                <w:numId w:val="24"/>
              </w:numPr>
              <w:spacing w:before="0" w:beforeAutospacing="0" w:after="0" w:afterAutospacing="0" w:line="276" w:lineRule="auto"/>
              <w:ind w:left="1068" w:right="86"/>
              <w:jc w:val="both"/>
              <w:rPr>
                <w:rFonts w:ascii="Arial" w:hAnsi="Arial" w:cs="Arial"/>
                <w:sz w:val="20"/>
                <w:szCs w:val="20"/>
              </w:rPr>
            </w:pPr>
            <w:r w:rsidRPr="00057644">
              <w:rPr>
                <w:rFonts w:ascii="Arial" w:hAnsi="Arial" w:cs="Arial"/>
                <w:sz w:val="20"/>
                <w:szCs w:val="20"/>
              </w:rPr>
              <w:t xml:space="preserve">ako AIF-om upravlja tim bez prethodnog zajedničkog iskustva u upravljanju AIF-om; ili </w:t>
            </w:r>
          </w:p>
          <w:p w14:paraId="63ED97D3" w14:textId="77777777" w:rsidR="00AD577A" w:rsidRPr="00057644" w:rsidRDefault="00AD577A" w:rsidP="00AD577A">
            <w:pPr>
              <w:pStyle w:val="paragraph"/>
              <w:numPr>
                <w:ilvl w:val="0"/>
                <w:numId w:val="24"/>
              </w:numPr>
              <w:spacing w:before="0" w:beforeAutospacing="0" w:after="0" w:afterAutospacing="0" w:line="276" w:lineRule="auto"/>
              <w:ind w:left="1068" w:right="86"/>
              <w:jc w:val="both"/>
              <w:rPr>
                <w:rFonts w:ascii="Arial" w:hAnsi="Arial" w:cs="Arial"/>
                <w:sz w:val="20"/>
                <w:szCs w:val="20"/>
              </w:rPr>
            </w:pPr>
            <w:r w:rsidRPr="00057644">
              <w:rPr>
                <w:rFonts w:ascii="Arial" w:hAnsi="Arial" w:cs="Arial"/>
                <w:sz w:val="20"/>
                <w:szCs w:val="20"/>
              </w:rPr>
              <w:t xml:space="preserve">ako AIF-om upravlja tim koji ravnopravno zastupaju oba spola (engl. </w:t>
            </w:r>
            <w:r w:rsidRPr="00057644">
              <w:rPr>
                <w:rFonts w:ascii="Arial" w:hAnsi="Arial" w:cs="Arial"/>
                <w:i/>
                <w:iCs/>
                <w:sz w:val="20"/>
                <w:szCs w:val="20"/>
                <w:lang w:val="en-US"/>
              </w:rPr>
              <w:t>gender balanced team</w:t>
            </w:r>
            <w:r w:rsidRPr="00057644">
              <w:rPr>
                <w:rFonts w:ascii="Arial" w:hAnsi="Arial" w:cs="Arial"/>
                <w:sz w:val="20"/>
                <w:szCs w:val="20"/>
              </w:rPr>
              <w:t>);</w:t>
            </w:r>
          </w:p>
          <w:p w14:paraId="2CE65418" w14:textId="77777777" w:rsidR="00AD577A" w:rsidRPr="00057644" w:rsidRDefault="00AD577A" w:rsidP="00AD577A">
            <w:pPr>
              <w:pStyle w:val="paragraph"/>
              <w:numPr>
                <w:ilvl w:val="0"/>
                <w:numId w:val="46"/>
              </w:numPr>
              <w:spacing w:beforeLines="60" w:before="144" w:beforeAutospacing="0" w:after="0" w:afterAutospacing="0" w:line="276" w:lineRule="auto"/>
              <w:ind w:left="714" w:right="85" w:hanging="357"/>
              <w:jc w:val="both"/>
              <w:rPr>
                <w:rFonts w:ascii="Arial" w:hAnsi="Arial" w:cs="Arial"/>
                <w:sz w:val="20"/>
                <w:szCs w:val="20"/>
              </w:rPr>
            </w:pPr>
            <w:r w:rsidRPr="00057644">
              <w:rPr>
                <w:rFonts w:ascii="Arial" w:hAnsi="Arial" w:cs="Arial"/>
                <w:sz w:val="20"/>
                <w:szCs w:val="20"/>
              </w:rPr>
              <w:t xml:space="preserve">do 70% ukupne veličine AIF-a:  </w:t>
            </w:r>
          </w:p>
          <w:p w14:paraId="1B34D96A" w14:textId="77777777" w:rsidR="00AD577A" w:rsidRPr="00057644" w:rsidRDefault="00AD577A" w:rsidP="00AD577A">
            <w:pPr>
              <w:pStyle w:val="paragraph"/>
              <w:numPr>
                <w:ilvl w:val="0"/>
                <w:numId w:val="24"/>
              </w:numPr>
              <w:spacing w:before="0" w:beforeAutospacing="0" w:after="0" w:afterAutospacing="0" w:line="276" w:lineRule="auto"/>
              <w:ind w:left="1066" w:right="85" w:hanging="357"/>
              <w:jc w:val="both"/>
              <w:rPr>
                <w:rFonts w:ascii="Arial" w:hAnsi="Arial" w:cs="Arial"/>
                <w:sz w:val="20"/>
                <w:szCs w:val="20"/>
              </w:rPr>
            </w:pPr>
            <w:r w:rsidRPr="00057644">
              <w:rPr>
                <w:rFonts w:ascii="Arial" w:hAnsi="Arial" w:cs="Arial"/>
                <w:sz w:val="20"/>
                <w:szCs w:val="20"/>
              </w:rPr>
              <w:t>ako je strategija ulaganja AIF-a usmjerena na transfer tehnologije.</w:t>
            </w:r>
          </w:p>
          <w:p w14:paraId="55856FEE" w14:textId="77777777" w:rsidR="00AD577A" w:rsidRPr="00057644" w:rsidRDefault="00AD577A" w:rsidP="00083BDB">
            <w:pPr>
              <w:pStyle w:val="paragraph"/>
              <w:spacing w:beforeLines="60" w:before="144" w:beforeAutospacing="0" w:afterLines="60" w:after="144" w:afterAutospacing="0" w:line="276" w:lineRule="auto"/>
              <w:ind w:right="86"/>
              <w:jc w:val="both"/>
              <w:rPr>
                <w:rFonts w:ascii="Arial" w:hAnsi="Arial" w:cs="Arial"/>
                <w:sz w:val="20"/>
                <w:szCs w:val="20"/>
              </w:rPr>
            </w:pPr>
            <w:r w:rsidRPr="00057644">
              <w:rPr>
                <w:rFonts w:ascii="Arial" w:hAnsi="Arial" w:cs="Arial"/>
                <w:sz w:val="20"/>
                <w:szCs w:val="20"/>
              </w:rPr>
              <w:t xml:space="preserve">Iznos HBOR-ove obveze na uplatu u pojedini AIF može iznositi maksimalno 25 mil. EUR. </w:t>
            </w:r>
          </w:p>
        </w:tc>
      </w:tr>
      <w:tr w:rsidR="00AD577A" w:rsidRPr="00057644" w14:paraId="3BE860C5" w14:textId="77777777" w:rsidTr="00083BDB">
        <w:trPr>
          <w:trHeight w:val="300"/>
        </w:trPr>
        <w:tc>
          <w:tcPr>
            <w:tcW w:w="1016" w:type="pct"/>
            <w:tcBorders>
              <w:top w:val="single" w:sz="4" w:space="0" w:color="auto"/>
              <w:bottom w:val="single" w:sz="4" w:space="0" w:color="auto"/>
            </w:tcBorders>
            <w:shd w:val="clear" w:color="auto" w:fill="auto"/>
            <w:hideMark/>
          </w:tcPr>
          <w:p w14:paraId="27BCE585" w14:textId="77777777" w:rsidR="00AD577A" w:rsidRPr="00057644" w:rsidRDefault="00AD577A" w:rsidP="00AD577A">
            <w:pPr>
              <w:pStyle w:val="paragraph"/>
              <w:numPr>
                <w:ilvl w:val="0"/>
                <w:numId w:val="22"/>
              </w:numPr>
              <w:spacing w:before="120" w:beforeAutospacing="0" w:after="0" w:afterAutospacing="0" w:line="276" w:lineRule="auto"/>
              <w:ind w:left="714" w:hanging="357"/>
              <w:rPr>
                <w:rFonts w:ascii="Arial" w:hAnsi="Arial" w:cs="Arial"/>
                <w:b/>
                <w:bCs/>
                <w:color w:val="1F3864" w:themeColor="accent1" w:themeShade="80"/>
                <w:sz w:val="20"/>
                <w:szCs w:val="20"/>
              </w:rPr>
            </w:pPr>
            <w:r w:rsidRPr="00057644">
              <w:rPr>
                <w:rFonts w:ascii="Arial" w:hAnsi="Arial" w:cs="Arial"/>
                <w:b/>
                <w:bCs/>
                <w:color w:val="1F3864" w:themeColor="accent1" w:themeShade="80"/>
                <w:sz w:val="20"/>
                <w:szCs w:val="20"/>
              </w:rPr>
              <w:lastRenderedPageBreak/>
              <w:t>Privatni ulagatelji</w:t>
            </w:r>
          </w:p>
        </w:tc>
        <w:tc>
          <w:tcPr>
            <w:tcW w:w="3984" w:type="pct"/>
            <w:tcBorders>
              <w:top w:val="single" w:sz="4" w:space="0" w:color="auto"/>
              <w:bottom w:val="single" w:sz="4" w:space="0" w:color="auto"/>
            </w:tcBorders>
            <w:shd w:val="clear" w:color="auto" w:fill="auto"/>
            <w:hideMark/>
          </w:tcPr>
          <w:p w14:paraId="14BDDFFC" w14:textId="77777777"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Privatnim ulagateljima smatraju se:  </w:t>
            </w:r>
          </w:p>
          <w:p w14:paraId="534670A8" w14:textId="77777777" w:rsidR="00AD577A" w:rsidRPr="00057644" w:rsidRDefault="00AD577A" w:rsidP="00AD577A">
            <w:pPr>
              <w:pStyle w:val="paragraph"/>
              <w:numPr>
                <w:ilvl w:val="0"/>
                <w:numId w:val="25"/>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financijske institucije u privatnom vlasništvu (ulaganje na vlastiti rizik i iz vlastitih sredstava); </w:t>
            </w:r>
          </w:p>
          <w:p w14:paraId="505CBA04" w14:textId="77777777" w:rsidR="00AD577A" w:rsidRPr="00057644" w:rsidRDefault="00AD577A" w:rsidP="00AD577A">
            <w:pPr>
              <w:pStyle w:val="paragraph"/>
              <w:numPr>
                <w:ilvl w:val="0"/>
                <w:numId w:val="26"/>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fondovi fondova: </w:t>
            </w:r>
          </w:p>
          <w:p w14:paraId="10591541" w14:textId="77777777" w:rsidR="00AD577A" w:rsidRPr="00057644" w:rsidRDefault="00AD577A" w:rsidP="00AD577A">
            <w:pPr>
              <w:pStyle w:val="paragraph"/>
              <w:numPr>
                <w:ilvl w:val="0"/>
                <w:numId w:val="44"/>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koji su klasificirani kao alternativni investicijski fond prema Direktivi o upraviteljima alternativnih investicijskih fondova</w:t>
            </w:r>
            <w:r w:rsidRPr="00057644">
              <w:rPr>
                <w:rStyle w:val="Referencafusnote"/>
                <w:rFonts w:ascii="Arial" w:eastAsiaTheme="majorEastAsia" w:hAnsi="Arial" w:cs="Arial"/>
                <w:sz w:val="20"/>
                <w:szCs w:val="20"/>
              </w:rPr>
              <w:footnoteReference w:id="7"/>
            </w:r>
            <w:r w:rsidRPr="00057644">
              <w:rPr>
                <w:rFonts w:ascii="Arial" w:hAnsi="Arial" w:cs="Arial"/>
                <w:sz w:val="20"/>
                <w:szCs w:val="20"/>
              </w:rPr>
              <w:t>, </w:t>
            </w:r>
          </w:p>
          <w:p w14:paraId="4491245F" w14:textId="77777777" w:rsidR="00AD577A" w:rsidRPr="00057644" w:rsidRDefault="00AD577A" w:rsidP="00AD577A">
            <w:pPr>
              <w:pStyle w:val="paragraph"/>
              <w:numPr>
                <w:ilvl w:val="0"/>
                <w:numId w:val="27"/>
              </w:numPr>
              <w:spacing w:before="60" w:beforeAutospacing="0" w:after="60" w:afterAutospacing="0" w:line="276" w:lineRule="auto"/>
              <w:ind w:left="1080" w:right="86"/>
              <w:jc w:val="both"/>
              <w:rPr>
                <w:rFonts w:ascii="Arial" w:hAnsi="Arial" w:cs="Arial"/>
                <w:sz w:val="20"/>
                <w:szCs w:val="20"/>
              </w:rPr>
            </w:pPr>
            <w:r w:rsidRPr="00057644">
              <w:rPr>
                <w:rFonts w:ascii="Arial" w:hAnsi="Arial" w:cs="Arial"/>
                <w:sz w:val="20"/>
                <w:szCs w:val="20"/>
              </w:rPr>
              <w:t>koji su pod upravljanjem ili savjetovanjem neovisnog upravljačkog tima, </w:t>
            </w:r>
          </w:p>
          <w:p w14:paraId="0F2D2E7A" w14:textId="77777777" w:rsidR="00AD577A" w:rsidRPr="00057644" w:rsidRDefault="00AD577A" w:rsidP="00AD577A">
            <w:pPr>
              <w:pStyle w:val="paragraph"/>
              <w:numPr>
                <w:ilvl w:val="0"/>
                <w:numId w:val="28"/>
              </w:numPr>
              <w:spacing w:before="60" w:beforeAutospacing="0" w:after="60" w:afterAutospacing="0" w:line="276" w:lineRule="auto"/>
              <w:ind w:left="1080" w:right="86"/>
              <w:jc w:val="both"/>
              <w:rPr>
                <w:rFonts w:ascii="Arial" w:hAnsi="Arial" w:cs="Arial"/>
                <w:sz w:val="20"/>
                <w:szCs w:val="20"/>
              </w:rPr>
            </w:pPr>
            <w:r w:rsidRPr="00057644">
              <w:rPr>
                <w:rFonts w:ascii="Arial" w:hAnsi="Arial" w:cs="Arial"/>
                <w:sz w:val="20"/>
                <w:szCs w:val="20"/>
              </w:rPr>
              <w:t>čiji većinski pokrovitelji nisu države članice ili nacionalne razvojne banke ili institucije ili EIF ili Europska investicijska banka; </w:t>
            </w:r>
          </w:p>
          <w:p w14:paraId="535CA941" w14:textId="77777777" w:rsidR="00AD577A" w:rsidRPr="00057644" w:rsidRDefault="00AD577A" w:rsidP="00AD577A">
            <w:pPr>
              <w:pStyle w:val="paragraph"/>
              <w:numPr>
                <w:ilvl w:val="0"/>
                <w:numId w:val="29"/>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privatne zaklade i fondovi; </w:t>
            </w:r>
          </w:p>
          <w:p w14:paraId="24D5FF87" w14:textId="77777777" w:rsidR="00AD577A" w:rsidRPr="00057644" w:rsidRDefault="00AD577A" w:rsidP="00AD577A">
            <w:pPr>
              <w:pStyle w:val="paragraph"/>
              <w:numPr>
                <w:ilvl w:val="0"/>
                <w:numId w:val="30"/>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obiteljski uredi i poslovni anđeli; </w:t>
            </w:r>
          </w:p>
          <w:p w14:paraId="40B89A83" w14:textId="77777777" w:rsidR="00AD577A" w:rsidRPr="00057644" w:rsidRDefault="00AD577A" w:rsidP="00AD577A">
            <w:pPr>
              <w:pStyle w:val="paragraph"/>
              <w:numPr>
                <w:ilvl w:val="0"/>
                <w:numId w:val="31"/>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korporativni investitori u većinskom privatnom vlasništvu; </w:t>
            </w:r>
          </w:p>
          <w:p w14:paraId="050C5D79" w14:textId="77777777" w:rsidR="00AD577A" w:rsidRPr="00057644" w:rsidRDefault="00AD577A" w:rsidP="00AD577A">
            <w:pPr>
              <w:pStyle w:val="paragraph"/>
              <w:numPr>
                <w:ilvl w:val="0"/>
                <w:numId w:val="32"/>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osiguravajuća društva; </w:t>
            </w:r>
          </w:p>
          <w:p w14:paraId="466AA22E" w14:textId="77777777" w:rsidR="00AD577A" w:rsidRPr="00057644" w:rsidRDefault="00AD577A" w:rsidP="00AD577A">
            <w:pPr>
              <w:pStyle w:val="paragraph"/>
              <w:numPr>
                <w:ilvl w:val="0"/>
                <w:numId w:val="33"/>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mirovinski fondovi; </w:t>
            </w:r>
          </w:p>
          <w:p w14:paraId="03DC9389" w14:textId="77777777" w:rsidR="00AD577A" w:rsidRPr="00057644" w:rsidRDefault="00AD577A" w:rsidP="00AD577A">
            <w:pPr>
              <w:pStyle w:val="paragraph"/>
              <w:numPr>
                <w:ilvl w:val="0"/>
                <w:numId w:val="34"/>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privatne osobe; </w:t>
            </w:r>
          </w:p>
          <w:p w14:paraId="4014938F" w14:textId="77777777" w:rsidR="00AD577A" w:rsidRPr="00057644" w:rsidRDefault="00AD577A" w:rsidP="00AD577A">
            <w:pPr>
              <w:pStyle w:val="paragraph"/>
              <w:numPr>
                <w:ilvl w:val="0"/>
                <w:numId w:val="35"/>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akademske institucije (uključujući privatne istraživačke ustanove i sveučilišta) koja ulažu iz vlastitih sredstava proizašlih iz njihove komercijalne aktivnosti; </w:t>
            </w:r>
          </w:p>
          <w:p w14:paraId="706DB5E7" w14:textId="77777777"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ukoliko ne dobivaju nikakav javni poticaj u svrhu ulaganja u AIF u koji će uložiti sredstva. </w:t>
            </w:r>
          </w:p>
        </w:tc>
      </w:tr>
      <w:tr w:rsidR="00AD577A" w:rsidRPr="00057644" w14:paraId="477F7903" w14:textId="77777777" w:rsidTr="00083BDB">
        <w:trPr>
          <w:trHeight w:val="300"/>
        </w:trPr>
        <w:tc>
          <w:tcPr>
            <w:tcW w:w="1016" w:type="pct"/>
            <w:tcBorders>
              <w:top w:val="single" w:sz="4" w:space="0" w:color="auto"/>
            </w:tcBorders>
            <w:shd w:val="clear" w:color="auto" w:fill="auto"/>
            <w:hideMark/>
          </w:tcPr>
          <w:p w14:paraId="5CD53729" w14:textId="77777777" w:rsidR="00AD577A" w:rsidRPr="00057644" w:rsidRDefault="00AD577A" w:rsidP="00AD577A">
            <w:pPr>
              <w:pStyle w:val="paragraph"/>
              <w:numPr>
                <w:ilvl w:val="0"/>
                <w:numId w:val="22"/>
              </w:numPr>
              <w:spacing w:before="120" w:beforeAutospacing="0" w:after="0" w:afterAutospacing="0" w:line="276" w:lineRule="auto"/>
              <w:ind w:left="714" w:hanging="357"/>
              <w:rPr>
                <w:rFonts w:ascii="Arial" w:hAnsi="Arial" w:cs="Arial"/>
                <w:b/>
                <w:bCs/>
                <w:color w:val="1F3864" w:themeColor="accent1" w:themeShade="80"/>
                <w:sz w:val="20"/>
                <w:szCs w:val="20"/>
              </w:rPr>
            </w:pPr>
            <w:r w:rsidRPr="00057644">
              <w:rPr>
                <w:rFonts w:ascii="Arial" w:hAnsi="Arial" w:cs="Arial"/>
                <w:b/>
                <w:bCs/>
                <w:color w:val="1F3864" w:themeColor="accent1" w:themeShade="80"/>
                <w:sz w:val="20"/>
                <w:szCs w:val="20"/>
              </w:rPr>
              <w:lastRenderedPageBreak/>
              <w:t>Krajnji korisnici</w:t>
            </w:r>
          </w:p>
        </w:tc>
        <w:tc>
          <w:tcPr>
            <w:tcW w:w="3984" w:type="pct"/>
            <w:tcBorders>
              <w:top w:val="single" w:sz="4" w:space="0" w:color="auto"/>
            </w:tcBorders>
            <w:shd w:val="clear" w:color="auto" w:fill="auto"/>
            <w:hideMark/>
          </w:tcPr>
          <w:p w14:paraId="7AB218AD" w14:textId="77777777"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u w:val="single"/>
              </w:rPr>
              <w:t>Prihvatljivi Krajnji korisnici</w:t>
            </w:r>
            <w:r w:rsidRPr="00057644">
              <w:rPr>
                <w:rFonts w:ascii="Arial" w:hAnsi="Arial" w:cs="Arial"/>
                <w:sz w:val="20"/>
                <w:szCs w:val="20"/>
              </w:rPr>
              <w:t xml:space="preserve"> su mikro, mala i srednja poduzeća</w:t>
            </w:r>
            <w:r w:rsidRPr="00057644">
              <w:rPr>
                <w:rStyle w:val="Referencafusnote"/>
                <w:rFonts w:ascii="Arial" w:eastAsiaTheme="majorEastAsia" w:hAnsi="Arial" w:cs="Arial"/>
                <w:sz w:val="20"/>
                <w:szCs w:val="20"/>
              </w:rPr>
              <w:footnoteReference w:id="8"/>
            </w:r>
            <w:r w:rsidRPr="00057644">
              <w:rPr>
                <w:rFonts w:ascii="Arial" w:hAnsi="Arial" w:cs="Arial"/>
                <w:sz w:val="20"/>
                <w:szCs w:val="20"/>
              </w:rPr>
              <w:t xml:space="preserve"> te poduzeća srednje tržišne kapitalizacije</w:t>
            </w:r>
            <w:r w:rsidRPr="00057644">
              <w:rPr>
                <w:rStyle w:val="Referencafusnote"/>
                <w:rFonts w:ascii="Arial" w:eastAsiaTheme="majorEastAsia" w:hAnsi="Arial" w:cs="Arial"/>
                <w:sz w:val="20"/>
                <w:szCs w:val="20"/>
              </w:rPr>
              <w:footnoteReference w:id="9"/>
            </w:r>
            <w:r w:rsidRPr="00057644">
              <w:rPr>
                <w:rFonts w:ascii="Arial" w:hAnsi="Arial" w:cs="Arial"/>
                <w:sz w:val="20"/>
                <w:szCs w:val="20"/>
              </w:rPr>
              <w:t xml:space="preserve"> (do 3.000 zaposlenih) koja pripadaju nekoj od niže navedenih faza ulaganja prema </w:t>
            </w:r>
            <w:proofErr w:type="spellStart"/>
            <w:r w:rsidRPr="00057644">
              <w:rPr>
                <w:rFonts w:ascii="Arial" w:hAnsi="Arial" w:cs="Arial"/>
                <w:sz w:val="20"/>
                <w:szCs w:val="20"/>
              </w:rPr>
              <w:t>Invest</w:t>
            </w:r>
            <w:proofErr w:type="spellEnd"/>
            <w:r w:rsidRPr="00057644">
              <w:rPr>
                <w:rFonts w:ascii="Arial" w:hAnsi="Arial" w:cs="Arial"/>
                <w:sz w:val="20"/>
                <w:szCs w:val="20"/>
              </w:rPr>
              <w:t xml:space="preserve"> Europe</w:t>
            </w:r>
            <w:r w:rsidRPr="00057644">
              <w:rPr>
                <w:rStyle w:val="Referencafusnote"/>
                <w:rFonts w:ascii="Arial" w:eastAsiaTheme="majorEastAsia" w:hAnsi="Arial" w:cs="Arial"/>
                <w:sz w:val="20"/>
                <w:szCs w:val="20"/>
              </w:rPr>
              <w:footnoteReference w:id="10"/>
            </w:r>
            <w:r w:rsidRPr="00057644">
              <w:rPr>
                <w:rFonts w:ascii="Arial" w:hAnsi="Arial" w:cs="Arial"/>
                <w:sz w:val="20"/>
                <w:szCs w:val="20"/>
              </w:rPr>
              <w:t xml:space="preserve"> metodologiji: </w:t>
            </w:r>
          </w:p>
          <w:p w14:paraId="1D699D8F" w14:textId="77777777" w:rsidR="00AD577A" w:rsidRPr="00057644" w:rsidRDefault="00AD577A" w:rsidP="00AD577A">
            <w:pPr>
              <w:pStyle w:val="paragraph"/>
              <w:numPr>
                <w:ilvl w:val="0"/>
                <w:numId w:val="41"/>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 xml:space="preserve">sjemenskoj fazi razvoja (engl. </w:t>
            </w:r>
            <w:proofErr w:type="spellStart"/>
            <w:r w:rsidRPr="00057644">
              <w:rPr>
                <w:rFonts w:ascii="Arial" w:hAnsi="Arial" w:cs="Arial"/>
                <w:i/>
                <w:iCs/>
                <w:sz w:val="20"/>
                <w:szCs w:val="20"/>
              </w:rPr>
              <w:t>Seed</w:t>
            </w:r>
            <w:proofErr w:type="spellEnd"/>
            <w:r w:rsidRPr="00057644">
              <w:rPr>
                <w:rFonts w:ascii="Arial" w:hAnsi="Arial" w:cs="Arial"/>
                <w:sz w:val="20"/>
                <w:szCs w:val="20"/>
              </w:rPr>
              <w:t>),</w:t>
            </w:r>
          </w:p>
          <w:p w14:paraId="77CE4266" w14:textId="77777777" w:rsidR="00AD577A" w:rsidRPr="00057644" w:rsidRDefault="00AD577A" w:rsidP="00AD577A">
            <w:pPr>
              <w:pStyle w:val="paragraph"/>
              <w:numPr>
                <w:ilvl w:val="0"/>
                <w:numId w:val="41"/>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 xml:space="preserve">početnoj fazi razvoja (engl. </w:t>
            </w:r>
            <w:r w:rsidRPr="00057644">
              <w:rPr>
                <w:rFonts w:ascii="Arial" w:hAnsi="Arial" w:cs="Arial"/>
                <w:i/>
                <w:iCs/>
                <w:sz w:val="20"/>
                <w:szCs w:val="20"/>
              </w:rPr>
              <w:t>Start-</w:t>
            </w:r>
            <w:proofErr w:type="spellStart"/>
            <w:r w:rsidRPr="00057644">
              <w:rPr>
                <w:rFonts w:ascii="Arial" w:hAnsi="Arial" w:cs="Arial"/>
                <w:i/>
                <w:iCs/>
                <w:sz w:val="20"/>
                <w:szCs w:val="20"/>
              </w:rPr>
              <w:t>up</w:t>
            </w:r>
            <w:proofErr w:type="spellEnd"/>
            <w:r w:rsidRPr="00057644">
              <w:rPr>
                <w:rFonts w:ascii="Arial" w:hAnsi="Arial" w:cs="Arial"/>
                <w:sz w:val="20"/>
                <w:szCs w:val="20"/>
              </w:rPr>
              <w:t>),</w:t>
            </w:r>
          </w:p>
          <w:p w14:paraId="3ED63FE3" w14:textId="77777777" w:rsidR="00AD577A" w:rsidRPr="00057644" w:rsidRDefault="00AD577A" w:rsidP="00AD577A">
            <w:pPr>
              <w:pStyle w:val="paragraph"/>
              <w:numPr>
                <w:ilvl w:val="0"/>
                <w:numId w:val="41"/>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 xml:space="preserve">kasnoj fazi razvoja (engl. </w:t>
            </w:r>
            <w:proofErr w:type="spellStart"/>
            <w:r w:rsidRPr="00057644">
              <w:rPr>
                <w:rFonts w:ascii="Arial" w:hAnsi="Arial" w:cs="Arial"/>
                <w:i/>
                <w:iCs/>
                <w:sz w:val="20"/>
                <w:szCs w:val="20"/>
              </w:rPr>
              <w:t>Later</w:t>
            </w:r>
            <w:proofErr w:type="spellEnd"/>
            <w:r w:rsidRPr="00057644">
              <w:rPr>
                <w:rFonts w:ascii="Arial" w:hAnsi="Arial" w:cs="Arial"/>
                <w:i/>
                <w:iCs/>
                <w:sz w:val="20"/>
                <w:szCs w:val="20"/>
              </w:rPr>
              <w:t xml:space="preserve"> </w:t>
            </w:r>
            <w:proofErr w:type="spellStart"/>
            <w:r w:rsidRPr="00057644">
              <w:rPr>
                <w:rFonts w:ascii="Arial" w:hAnsi="Arial" w:cs="Arial"/>
                <w:i/>
                <w:iCs/>
                <w:sz w:val="20"/>
                <w:szCs w:val="20"/>
              </w:rPr>
              <w:t>stage</w:t>
            </w:r>
            <w:proofErr w:type="spellEnd"/>
            <w:r w:rsidRPr="00057644">
              <w:rPr>
                <w:rFonts w:ascii="Arial" w:hAnsi="Arial" w:cs="Arial"/>
                <w:i/>
                <w:iCs/>
                <w:sz w:val="20"/>
                <w:szCs w:val="20"/>
              </w:rPr>
              <w:t xml:space="preserve"> </w:t>
            </w:r>
            <w:proofErr w:type="spellStart"/>
            <w:r w:rsidRPr="00057644">
              <w:rPr>
                <w:rFonts w:ascii="Arial" w:hAnsi="Arial" w:cs="Arial"/>
                <w:i/>
                <w:iCs/>
                <w:sz w:val="20"/>
                <w:szCs w:val="20"/>
              </w:rPr>
              <w:t>venture</w:t>
            </w:r>
            <w:proofErr w:type="spellEnd"/>
            <w:r w:rsidRPr="00057644">
              <w:rPr>
                <w:rFonts w:ascii="Arial" w:hAnsi="Arial" w:cs="Arial"/>
                <w:sz w:val="20"/>
                <w:szCs w:val="20"/>
              </w:rPr>
              <w:t>), </w:t>
            </w:r>
          </w:p>
          <w:p w14:paraId="3C5DB29E" w14:textId="77777777" w:rsidR="00AD577A" w:rsidRPr="00057644" w:rsidRDefault="00AD577A" w:rsidP="00AD577A">
            <w:pPr>
              <w:pStyle w:val="paragraph"/>
              <w:numPr>
                <w:ilvl w:val="0"/>
                <w:numId w:val="41"/>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 xml:space="preserve">fazi rasta (engl. </w:t>
            </w:r>
            <w:proofErr w:type="spellStart"/>
            <w:r w:rsidRPr="00057644">
              <w:rPr>
                <w:rFonts w:ascii="Arial" w:hAnsi="Arial" w:cs="Arial"/>
                <w:i/>
                <w:iCs/>
                <w:sz w:val="20"/>
                <w:szCs w:val="20"/>
              </w:rPr>
              <w:t>Growth</w:t>
            </w:r>
            <w:proofErr w:type="spellEnd"/>
            <w:r w:rsidRPr="00057644">
              <w:rPr>
                <w:rFonts w:ascii="Arial" w:hAnsi="Arial" w:cs="Arial"/>
                <w:i/>
                <w:iCs/>
                <w:sz w:val="20"/>
                <w:szCs w:val="20"/>
              </w:rPr>
              <w:t xml:space="preserve"> </w:t>
            </w:r>
            <w:proofErr w:type="spellStart"/>
            <w:r w:rsidRPr="00057644">
              <w:rPr>
                <w:rFonts w:ascii="Arial" w:hAnsi="Arial" w:cs="Arial"/>
                <w:i/>
                <w:iCs/>
                <w:sz w:val="20"/>
                <w:szCs w:val="20"/>
              </w:rPr>
              <w:t>capital</w:t>
            </w:r>
            <w:proofErr w:type="spellEnd"/>
            <w:r w:rsidRPr="00057644">
              <w:rPr>
                <w:rFonts w:ascii="Arial" w:hAnsi="Arial" w:cs="Arial"/>
                <w:sz w:val="20"/>
                <w:szCs w:val="20"/>
              </w:rPr>
              <w:t>), </w:t>
            </w:r>
          </w:p>
          <w:p w14:paraId="719A385A" w14:textId="77777777" w:rsidR="00AD577A" w:rsidRPr="00057644" w:rsidRDefault="00AD577A" w:rsidP="00AD577A">
            <w:pPr>
              <w:pStyle w:val="paragraph"/>
              <w:numPr>
                <w:ilvl w:val="0"/>
                <w:numId w:val="41"/>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 xml:space="preserve">fazi zamjene kapitala (engl. </w:t>
            </w:r>
            <w:proofErr w:type="spellStart"/>
            <w:r w:rsidRPr="00057644">
              <w:rPr>
                <w:rFonts w:ascii="Arial" w:hAnsi="Arial" w:cs="Arial"/>
                <w:i/>
                <w:iCs/>
                <w:sz w:val="20"/>
                <w:szCs w:val="20"/>
              </w:rPr>
              <w:t>Replacement</w:t>
            </w:r>
            <w:proofErr w:type="spellEnd"/>
            <w:r w:rsidRPr="00057644">
              <w:rPr>
                <w:rFonts w:ascii="Arial" w:hAnsi="Arial" w:cs="Arial"/>
                <w:i/>
                <w:iCs/>
                <w:sz w:val="20"/>
                <w:szCs w:val="20"/>
              </w:rPr>
              <w:t xml:space="preserve"> </w:t>
            </w:r>
            <w:proofErr w:type="spellStart"/>
            <w:r w:rsidRPr="00057644">
              <w:rPr>
                <w:rFonts w:ascii="Arial" w:hAnsi="Arial" w:cs="Arial"/>
                <w:i/>
                <w:iCs/>
                <w:sz w:val="20"/>
                <w:szCs w:val="20"/>
              </w:rPr>
              <w:t>capital</w:t>
            </w:r>
            <w:proofErr w:type="spellEnd"/>
            <w:r w:rsidRPr="00057644">
              <w:rPr>
                <w:rFonts w:ascii="Arial" w:hAnsi="Arial" w:cs="Arial"/>
                <w:sz w:val="20"/>
                <w:szCs w:val="20"/>
              </w:rPr>
              <w:t>), </w:t>
            </w:r>
          </w:p>
          <w:p w14:paraId="4470D68C" w14:textId="77777777" w:rsidR="00AD577A" w:rsidRPr="00057644" w:rsidRDefault="00AD577A" w:rsidP="00AD577A">
            <w:pPr>
              <w:pStyle w:val="paragraph"/>
              <w:numPr>
                <w:ilvl w:val="0"/>
                <w:numId w:val="41"/>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 xml:space="preserve">fazi preuzimanja (engl. </w:t>
            </w:r>
            <w:proofErr w:type="spellStart"/>
            <w:r w:rsidRPr="00057644">
              <w:rPr>
                <w:rFonts w:ascii="Arial" w:hAnsi="Arial" w:cs="Arial"/>
                <w:i/>
                <w:iCs/>
                <w:sz w:val="20"/>
                <w:szCs w:val="20"/>
              </w:rPr>
              <w:t>Buyout</w:t>
            </w:r>
            <w:proofErr w:type="spellEnd"/>
            <w:r w:rsidRPr="00057644">
              <w:rPr>
                <w:rFonts w:ascii="Arial" w:hAnsi="Arial" w:cs="Arial"/>
                <w:sz w:val="20"/>
                <w:szCs w:val="20"/>
              </w:rPr>
              <w:t>).</w:t>
            </w:r>
          </w:p>
          <w:p w14:paraId="37E38A75" w14:textId="77777777"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p>
          <w:p w14:paraId="2F437CED" w14:textId="77777777"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u w:val="single"/>
              </w:rPr>
              <w:t>Neprihvatljivi Krajnji</w:t>
            </w:r>
            <w:r w:rsidRPr="00057644">
              <w:rPr>
                <w:rFonts w:ascii="Arial" w:hAnsi="Arial" w:cs="Arial"/>
                <w:sz w:val="20"/>
                <w:szCs w:val="20"/>
              </w:rPr>
              <w:t xml:space="preserve"> </w:t>
            </w:r>
            <w:r w:rsidRPr="00057644">
              <w:rPr>
                <w:rFonts w:ascii="Arial" w:hAnsi="Arial" w:cs="Arial"/>
                <w:sz w:val="20"/>
                <w:szCs w:val="20"/>
                <w:u w:val="single"/>
              </w:rPr>
              <w:t>korisnici</w:t>
            </w:r>
            <w:r w:rsidRPr="00057644">
              <w:rPr>
                <w:rFonts w:ascii="Arial" w:hAnsi="Arial" w:cs="Arial"/>
                <w:sz w:val="20"/>
                <w:szCs w:val="20"/>
              </w:rPr>
              <w:t xml:space="preserve"> su oni: </w:t>
            </w:r>
          </w:p>
          <w:p w14:paraId="4B1C6272" w14:textId="77777777" w:rsidR="00AD577A" w:rsidRPr="00057644" w:rsidRDefault="00AD577A" w:rsidP="00AD577A">
            <w:pPr>
              <w:pStyle w:val="paragraph"/>
              <w:numPr>
                <w:ilvl w:val="0"/>
                <w:numId w:val="42"/>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koji obavljaju aktivnost navedenu na Listi neprihvatljivih aktivnosti</w:t>
            </w:r>
            <w:r w:rsidRPr="00057644">
              <w:rPr>
                <w:rFonts w:ascii="Arial" w:hAnsi="Arial" w:cs="Arial"/>
                <w:sz w:val="20"/>
                <w:szCs w:val="20"/>
                <w:vertAlign w:val="superscript"/>
              </w:rPr>
              <w:footnoteReference w:id="11"/>
            </w:r>
            <w:r w:rsidRPr="00057644">
              <w:rPr>
                <w:rFonts w:ascii="Arial" w:hAnsi="Arial" w:cs="Arial"/>
                <w:sz w:val="20"/>
                <w:szCs w:val="20"/>
              </w:rPr>
              <w:t xml:space="preserve">, i/ili </w:t>
            </w:r>
          </w:p>
          <w:p w14:paraId="1AF97ACB" w14:textId="77777777" w:rsidR="00AD577A" w:rsidRPr="00057644" w:rsidRDefault="00AD577A" w:rsidP="00AD577A">
            <w:pPr>
              <w:pStyle w:val="paragraph"/>
              <w:numPr>
                <w:ilvl w:val="0"/>
                <w:numId w:val="42"/>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koji su „poduzetnici u teškoćama“ sukladno odredbama čl. 2(18) Uredbe Komisije (EU) br. 651/2014</w:t>
            </w:r>
            <w:r w:rsidRPr="00057644">
              <w:rPr>
                <w:rStyle w:val="Referencafusnote"/>
                <w:rFonts w:ascii="Arial" w:eastAsiaTheme="majorEastAsia" w:hAnsi="Arial" w:cs="Arial"/>
                <w:sz w:val="20"/>
                <w:szCs w:val="20"/>
              </w:rPr>
              <w:footnoteReference w:id="12"/>
            </w:r>
            <w:r w:rsidRPr="00057644">
              <w:rPr>
                <w:rFonts w:ascii="Arial" w:hAnsi="Arial" w:cs="Arial"/>
                <w:sz w:val="20"/>
                <w:szCs w:val="20"/>
              </w:rPr>
              <w:t xml:space="preserve"> od 17. lipnja 2014. godine, i/ili</w:t>
            </w:r>
          </w:p>
          <w:p w14:paraId="6FE88D3E" w14:textId="77777777" w:rsidR="00AD577A" w:rsidRPr="00057644" w:rsidRDefault="00AD577A" w:rsidP="00AD577A">
            <w:pPr>
              <w:pStyle w:val="paragraph"/>
              <w:numPr>
                <w:ilvl w:val="0"/>
                <w:numId w:val="42"/>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 xml:space="preserve">čija aktivnost, u trenutku ulaganja AIF-a, predstavlja kršenje mjera ograničavanja  (engl. </w:t>
            </w:r>
            <w:r w:rsidRPr="00057644">
              <w:rPr>
                <w:rFonts w:ascii="Arial" w:hAnsi="Arial" w:cs="Arial"/>
                <w:i/>
                <w:iCs/>
                <w:sz w:val="20"/>
                <w:szCs w:val="20"/>
                <w:lang w:val="en-US"/>
              </w:rPr>
              <w:t>Restricted Person</w:t>
            </w:r>
            <w:r w:rsidRPr="00057644">
              <w:rPr>
                <w:rFonts w:ascii="Arial" w:hAnsi="Arial" w:cs="Arial"/>
                <w:sz w:val="20"/>
                <w:szCs w:val="20"/>
              </w:rPr>
              <w:t xml:space="preserve">). </w:t>
            </w:r>
          </w:p>
        </w:tc>
      </w:tr>
      <w:tr w:rsidR="00AD577A" w:rsidRPr="00057644" w14:paraId="5DD6703E" w14:textId="77777777" w:rsidTr="00083BDB">
        <w:trPr>
          <w:trHeight w:val="300"/>
        </w:trPr>
        <w:tc>
          <w:tcPr>
            <w:tcW w:w="1016" w:type="pct"/>
            <w:tcBorders>
              <w:top w:val="single" w:sz="4" w:space="0" w:color="auto"/>
            </w:tcBorders>
            <w:shd w:val="clear" w:color="auto" w:fill="auto"/>
          </w:tcPr>
          <w:p w14:paraId="00523ABD" w14:textId="77777777" w:rsidR="00AD577A" w:rsidRPr="00057644" w:rsidRDefault="00AD577A" w:rsidP="00AD577A">
            <w:pPr>
              <w:pStyle w:val="paragraph"/>
              <w:numPr>
                <w:ilvl w:val="0"/>
                <w:numId w:val="22"/>
              </w:numPr>
              <w:spacing w:before="120" w:beforeAutospacing="0" w:after="0" w:afterAutospacing="0" w:line="276" w:lineRule="auto"/>
              <w:ind w:left="714" w:hanging="357"/>
              <w:rPr>
                <w:rFonts w:ascii="Arial" w:hAnsi="Arial" w:cs="Arial"/>
                <w:b/>
                <w:bCs/>
                <w:color w:val="1F3864" w:themeColor="accent1" w:themeShade="80"/>
                <w:sz w:val="20"/>
                <w:szCs w:val="20"/>
              </w:rPr>
            </w:pPr>
            <w:r w:rsidRPr="00057644">
              <w:rPr>
                <w:rFonts w:ascii="Arial" w:hAnsi="Arial" w:cs="Arial"/>
                <w:b/>
                <w:bCs/>
                <w:color w:val="1F3864" w:themeColor="accent1" w:themeShade="80"/>
                <w:sz w:val="20"/>
                <w:szCs w:val="20"/>
              </w:rPr>
              <w:t>Vidljivost</w:t>
            </w:r>
          </w:p>
        </w:tc>
        <w:tc>
          <w:tcPr>
            <w:tcW w:w="3984" w:type="pct"/>
            <w:tcBorders>
              <w:top w:val="single" w:sz="4" w:space="0" w:color="auto"/>
            </w:tcBorders>
            <w:shd w:val="clear" w:color="auto" w:fill="auto"/>
          </w:tcPr>
          <w:p w14:paraId="6DA4258C" w14:textId="77777777"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 xml:space="preserve">U komunikaciji o ulaganju, Financijski posrednici i Krajnji korisnici dužni su istaknuti oznaku vidljivost izvora financiranja. Tijekom pregovora s Financijskim posrednicima utvrditi će se oblik i način isticanja izvora financiranja. </w:t>
            </w:r>
          </w:p>
          <w:p w14:paraId="4D41513D" w14:textId="77777777"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Financijski posrednik će biti obvezan prenijeti u ugovornu dokumentaciju s Krajnjim korisnicima odredbe koje se odnose na vidljivost.</w:t>
            </w:r>
          </w:p>
        </w:tc>
      </w:tr>
      <w:tr w:rsidR="00AD577A" w:rsidRPr="00057644" w14:paraId="39674F75" w14:textId="77777777" w:rsidTr="00083BDB">
        <w:trPr>
          <w:trHeight w:val="300"/>
        </w:trPr>
        <w:tc>
          <w:tcPr>
            <w:tcW w:w="1016" w:type="pct"/>
            <w:tcBorders>
              <w:top w:val="single" w:sz="4" w:space="0" w:color="auto"/>
              <w:bottom w:val="single" w:sz="4" w:space="0" w:color="auto"/>
            </w:tcBorders>
            <w:shd w:val="clear" w:color="auto" w:fill="auto"/>
            <w:hideMark/>
          </w:tcPr>
          <w:p w14:paraId="069CE79F" w14:textId="77777777" w:rsidR="00AD577A" w:rsidRPr="00057644" w:rsidRDefault="00AD577A" w:rsidP="00AD577A">
            <w:pPr>
              <w:pStyle w:val="paragraph"/>
              <w:numPr>
                <w:ilvl w:val="0"/>
                <w:numId w:val="22"/>
              </w:numPr>
              <w:spacing w:before="120" w:beforeAutospacing="0" w:after="0" w:afterAutospacing="0" w:line="276" w:lineRule="auto"/>
              <w:ind w:left="714" w:hanging="357"/>
              <w:rPr>
                <w:rFonts w:ascii="Arial" w:hAnsi="Arial" w:cs="Arial"/>
                <w:b/>
                <w:bCs/>
                <w:color w:val="1F3864" w:themeColor="accent1" w:themeShade="80"/>
                <w:sz w:val="20"/>
                <w:szCs w:val="20"/>
              </w:rPr>
            </w:pPr>
            <w:r w:rsidRPr="00057644">
              <w:rPr>
                <w:rFonts w:ascii="Arial" w:hAnsi="Arial" w:cs="Arial"/>
                <w:b/>
                <w:bCs/>
                <w:color w:val="1F3864" w:themeColor="accent1" w:themeShade="80"/>
                <w:sz w:val="20"/>
                <w:szCs w:val="20"/>
              </w:rPr>
              <w:t>Namjena i način ulaganja</w:t>
            </w:r>
          </w:p>
          <w:p w14:paraId="4C6E8438" w14:textId="77777777" w:rsidR="00AD577A" w:rsidRPr="00057644" w:rsidRDefault="00AD577A" w:rsidP="00083BDB">
            <w:pPr>
              <w:pStyle w:val="paragraph"/>
              <w:spacing w:before="0" w:beforeAutospacing="0" w:after="0" w:afterAutospacing="0" w:line="276" w:lineRule="auto"/>
              <w:rPr>
                <w:rFonts w:ascii="Arial" w:hAnsi="Arial" w:cs="Arial"/>
                <w:b/>
                <w:bCs/>
                <w:color w:val="1F3864" w:themeColor="accent1" w:themeShade="80"/>
                <w:sz w:val="20"/>
                <w:szCs w:val="20"/>
              </w:rPr>
            </w:pPr>
          </w:p>
        </w:tc>
        <w:tc>
          <w:tcPr>
            <w:tcW w:w="3984" w:type="pct"/>
            <w:tcBorders>
              <w:top w:val="single" w:sz="4" w:space="0" w:color="auto"/>
              <w:bottom w:val="single" w:sz="4" w:space="0" w:color="auto"/>
            </w:tcBorders>
            <w:shd w:val="clear" w:color="auto" w:fill="auto"/>
            <w:hideMark/>
          </w:tcPr>
          <w:p w14:paraId="46D340CB" w14:textId="77777777"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Iz sredstava AIF-ova provodit će se vlasnička ili kvazi-vlasnička ulaganja u Krajnje korisnike.</w:t>
            </w:r>
          </w:p>
          <w:p w14:paraId="31698D87" w14:textId="77777777"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Ulaganja u Krajnje korisnike provode se neizravno, putem AIF-a kojim upravlja Financijski posrednik (obuhvaća strukture koje uključuju holding kompanije kojima upravlja Financijski posrednik). </w:t>
            </w:r>
          </w:p>
        </w:tc>
      </w:tr>
      <w:tr w:rsidR="00AD577A" w:rsidRPr="00057644" w14:paraId="3892E546" w14:textId="77777777" w:rsidTr="00083BDB">
        <w:trPr>
          <w:trHeight w:val="300"/>
        </w:trPr>
        <w:tc>
          <w:tcPr>
            <w:tcW w:w="1016" w:type="pct"/>
            <w:tcBorders>
              <w:top w:val="single" w:sz="4" w:space="0" w:color="auto"/>
              <w:bottom w:val="single" w:sz="4" w:space="0" w:color="auto"/>
            </w:tcBorders>
            <w:shd w:val="clear" w:color="auto" w:fill="auto"/>
            <w:hideMark/>
          </w:tcPr>
          <w:p w14:paraId="4B60060F" w14:textId="77777777" w:rsidR="00AD577A" w:rsidRPr="00057644" w:rsidRDefault="00AD577A" w:rsidP="00AD577A">
            <w:pPr>
              <w:pStyle w:val="paragraph"/>
              <w:numPr>
                <w:ilvl w:val="0"/>
                <w:numId w:val="22"/>
              </w:numPr>
              <w:spacing w:before="120" w:beforeAutospacing="0" w:after="0" w:afterAutospacing="0" w:line="276" w:lineRule="auto"/>
              <w:ind w:left="714" w:hanging="357"/>
              <w:rPr>
                <w:rFonts w:ascii="Arial" w:hAnsi="Arial" w:cs="Arial"/>
                <w:b/>
                <w:bCs/>
                <w:color w:val="1F3864" w:themeColor="accent1" w:themeShade="80"/>
                <w:sz w:val="20"/>
                <w:szCs w:val="20"/>
              </w:rPr>
            </w:pPr>
            <w:r w:rsidRPr="00057644">
              <w:rPr>
                <w:rFonts w:ascii="Arial" w:hAnsi="Arial" w:cs="Arial"/>
                <w:b/>
                <w:bCs/>
                <w:color w:val="1F3864" w:themeColor="accent1" w:themeShade="80"/>
                <w:sz w:val="20"/>
                <w:szCs w:val="20"/>
              </w:rPr>
              <w:t>Naknade i troškovi</w:t>
            </w:r>
          </w:p>
        </w:tc>
        <w:tc>
          <w:tcPr>
            <w:tcW w:w="3984" w:type="pct"/>
            <w:tcBorders>
              <w:top w:val="single" w:sz="4" w:space="0" w:color="auto"/>
              <w:bottom w:val="single" w:sz="4" w:space="0" w:color="auto"/>
            </w:tcBorders>
            <w:shd w:val="clear" w:color="auto" w:fill="auto"/>
            <w:hideMark/>
          </w:tcPr>
          <w:p w14:paraId="3DD53D06" w14:textId="77777777"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Kod ugovaranja obveze na uplatu ulagatelja u AIF, sredstva za provedbu ulaganja u Krajnje korisnike i troškovi upravljanja te drugi troškovi AIF-a uključeni su u ukupan ugovoreni iznos preuzete obveze na uplatu ulagatelja. </w:t>
            </w:r>
          </w:p>
        </w:tc>
      </w:tr>
      <w:tr w:rsidR="00AD577A" w:rsidRPr="00057644" w14:paraId="3BBE5E34" w14:textId="77777777" w:rsidTr="00083BDB">
        <w:trPr>
          <w:trHeight w:val="300"/>
        </w:trPr>
        <w:tc>
          <w:tcPr>
            <w:tcW w:w="1016" w:type="pct"/>
            <w:tcBorders>
              <w:top w:val="single" w:sz="4" w:space="0" w:color="auto"/>
              <w:bottom w:val="single" w:sz="4" w:space="0" w:color="auto"/>
            </w:tcBorders>
            <w:shd w:val="clear" w:color="auto" w:fill="auto"/>
            <w:hideMark/>
          </w:tcPr>
          <w:p w14:paraId="76727CF4" w14:textId="77777777" w:rsidR="00AD577A" w:rsidRPr="00057644" w:rsidRDefault="00AD577A" w:rsidP="00AD577A">
            <w:pPr>
              <w:pStyle w:val="paragraph"/>
              <w:numPr>
                <w:ilvl w:val="0"/>
                <w:numId w:val="22"/>
              </w:numPr>
              <w:spacing w:before="120" w:beforeAutospacing="0" w:after="0" w:afterAutospacing="0" w:line="276" w:lineRule="auto"/>
              <w:ind w:left="714" w:hanging="357"/>
              <w:rPr>
                <w:rFonts w:ascii="Arial" w:hAnsi="Arial" w:cs="Arial"/>
                <w:b/>
                <w:bCs/>
                <w:color w:val="1F3864" w:themeColor="accent1" w:themeShade="80"/>
                <w:sz w:val="20"/>
                <w:szCs w:val="20"/>
              </w:rPr>
            </w:pPr>
            <w:r w:rsidRPr="00057644">
              <w:rPr>
                <w:rFonts w:ascii="Arial" w:hAnsi="Arial" w:cs="Arial"/>
                <w:b/>
                <w:bCs/>
                <w:color w:val="1F3864" w:themeColor="accent1" w:themeShade="80"/>
                <w:sz w:val="20"/>
                <w:szCs w:val="20"/>
              </w:rPr>
              <w:t xml:space="preserve">Razdoblje provedbe </w:t>
            </w:r>
          </w:p>
        </w:tc>
        <w:tc>
          <w:tcPr>
            <w:tcW w:w="3984" w:type="pct"/>
            <w:tcBorders>
              <w:top w:val="single" w:sz="4" w:space="0" w:color="auto"/>
              <w:bottom w:val="single" w:sz="4" w:space="0" w:color="auto"/>
            </w:tcBorders>
            <w:shd w:val="clear" w:color="auto" w:fill="auto"/>
            <w:hideMark/>
          </w:tcPr>
          <w:p w14:paraId="5D4F06A2" w14:textId="7C2234E5"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Razdoblje provedbe Programa je do iskorištenja sredstava. </w:t>
            </w:r>
          </w:p>
        </w:tc>
      </w:tr>
      <w:tr w:rsidR="00AD577A" w:rsidRPr="00057644" w14:paraId="5FBB501E" w14:textId="77777777" w:rsidTr="00083BDB">
        <w:trPr>
          <w:trHeight w:val="300"/>
        </w:trPr>
        <w:tc>
          <w:tcPr>
            <w:tcW w:w="1016" w:type="pct"/>
            <w:tcBorders>
              <w:top w:val="single" w:sz="4" w:space="0" w:color="auto"/>
              <w:bottom w:val="single" w:sz="4" w:space="0" w:color="auto"/>
            </w:tcBorders>
            <w:shd w:val="clear" w:color="auto" w:fill="auto"/>
            <w:hideMark/>
          </w:tcPr>
          <w:p w14:paraId="1130B335" w14:textId="77777777" w:rsidR="00AD577A" w:rsidRPr="00057644" w:rsidRDefault="00AD577A" w:rsidP="00AD577A">
            <w:pPr>
              <w:pStyle w:val="paragraph"/>
              <w:numPr>
                <w:ilvl w:val="0"/>
                <w:numId w:val="22"/>
              </w:numPr>
              <w:spacing w:before="120" w:beforeAutospacing="0" w:after="0" w:afterAutospacing="0" w:line="276" w:lineRule="auto"/>
              <w:ind w:left="714" w:hanging="357"/>
              <w:rPr>
                <w:rFonts w:ascii="Arial" w:hAnsi="Arial" w:cs="Arial"/>
                <w:b/>
                <w:bCs/>
                <w:color w:val="1F3864" w:themeColor="accent1" w:themeShade="80"/>
                <w:sz w:val="20"/>
                <w:szCs w:val="20"/>
              </w:rPr>
            </w:pPr>
            <w:r w:rsidRPr="00057644">
              <w:rPr>
                <w:rFonts w:ascii="Arial" w:hAnsi="Arial" w:cs="Arial"/>
                <w:b/>
                <w:bCs/>
                <w:color w:val="1F3864" w:themeColor="accent1" w:themeShade="80"/>
                <w:sz w:val="20"/>
                <w:szCs w:val="20"/>
              </w:rPr>
              <w:lastRenderedPageBreak/>
              <w:t>Ostalo</w:t>
            </w:r>
          </w:p>
        </w:tc>
        <w:tc>
          <w:tcPr>
            <w:tcW w:w="3984" w:type="pct"/>
            <w:tcBorders>
              <w:top w:val="single" w:sz="4" w:space="0" w:color="auto"/>
              <w:bottom w:val="single" w:sz="4" w:space="0" w:color="auto"/>
            </w:tcBorders>
            <w:shd w:val="clear" w:color="auto" w:fill="auto"/>
            <w:hideMark/>
          </w:tcPr>
          <w:p w14:paraId="1457A237" w14:textId="77777777"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Ugovorna dokumentacija temeljem koje će se HBOR obvezati na uplatu u AIF uključivat će, između ostalog: </w:t>
            </w:r>
          </w:p>
          <w:p w14:paraId="00F6E709" w14:textId="77777777" w:rsidR="00AD577A" w:rsidRPr="00057644" w:rsidRDefault="00AD577A" w:rsidP="00AD577A">
            <w:pPr>
              <w:pStyle w:val="paragraph"/>
              <w:numPr>
                <w:ilvl w:val="0"/>
                <w:numId w:val="36"/>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prava HBOR-a na uvid u dokumentaciju AIF-a neophodnu za praćenje i reviziju utroška HBOR sredstava; </w:t>
            </w:r>
          </w:p>
          <w:p w14:paraId="1B09E996" w14:textId="77777777" w:rsidR="00AD577A" w:rsidRPr="00057644" w:rsidRDefault="00AD577A" w:rsidP="00AD577A">
            <w:pPr>
              <w:pStyle w:val="paragraph"/>
              <w:numPr>
                <w:ilvl w:val="0"/>
                <w:numId w:val="37"/>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obvezu čuvanja dokumentacije o korištenju HBOR sredstava; </w:t>
            </w:r>
          </w:p>
          <w:p w14:paraId="6652E480" w14:textId="77777777" w:rsidR="00AD577A" w:rsidRPr="00057644" w:rsidRDefault="00AD577A" w:rsidP="00AD577A">
            <w:pPr>
              <w:pStyle w:val="paragraph"/>
              <w:numPr>
                <w:ilvl w:val="0"/>
                <w:numId w:val="38"/>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obveze vezano za Vidljivost; </w:t>
            </w:r>
          </w:p>
          <w:p w14:paraId="1514F302" w14:textId="77777777" w:rsidR="00AD577A" w:rsidRPr="00057644" w:rsidRDefault="00AD577A" w:rsidP="00AD577A">
            <w:pPr>
              <w:pStyle w:val="paragraph"/>
              <w:numPr>
                <w:ilvl w:val="0"/>
                <w:numId w:val="39"/>
              </w:numPr>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mogućnosti transfera udjela u AIF-ovima na druge osobe ukoliko to zatraži HBOR.</w:t>
            </w:r>
          </w:p>
        </w:tc>
      </w:tr>
      <w:tr w:rsidR="00AD577A" w:rsidRPr="00057644" w14:paraId="17237910" w14:textId="77777777" w:rsidTr="00083BDB">
        <w:trPr>
          <w:trHeight w:val="300"/>
        </w:trPr>
        <w:tc>
          <w:tcPr>
            <w:tcW w:w="1016" w:type="pct"/>
            <w:tcBorders>
              <w:top w:val="single" w:sz="4" w:space="0" w:color="auto"/>
            </w:tcBorders>
            <w:shd w:val="clear" w:color="auto" w:fill="auto"/>
            <w:hideMark/>
          </w:tcPr>
          <w:p w14:paraId="2FFD782D" w14:textId="77777777" w:rsidR="00AD577A" w:rsidRPr="00057644" w:rsidRDefault="00AD577A" w:rsidP="00AD577A">
            <w:pPr>
              <w:pStyle w:val="paragraph"/>
              <w:numPr>
                <w:ilvl w:val="0"/>
                <w:numId w:val="22"/>
              </w:numPr>
              <w:spacing w:before="120" w:beforeAutospacing="0" w:after="0" w:afterAutospacing="0" w:line="276" w:lineRule="auto"/>
              <w:ind w:left="714" w:hanging="357"/>
              <w:rPr>
                <w:rFonts w:ascii="Arial" w:hAnsi="Arial" w:cs="Arial"/>
                <w:b/>
                <w:bCs/>
                <w:color w:val="1F3864" w:themeColor="accent1" w:themeShade="80"/>
                <w:sz w:val="20"/>
                <w:szCs w:val="20"/>
              </w:rPr>
            </w:pPr>
            <w:r w:rsidRPr="00057644">
              <w:rPr>
                <w:rFonts w:ascii="Arial" w:hAnsi="Arial" w:cs="Arial"/>
                <w:b/>
                <w:bCs/>
                <w:color w:val="1F3864" w:themeColor="accent1" w:themeShade="80"/>
                <w:sz w:val="20"/>
                <w:szCs w:val="20"/>
              </w:rPr>
              <w:t>Povezani dokumenti / Privici</w:t>
            </w:r>
          </w:p>
        </w:tc>
        <w:tc>
          <w:tcPr>
            <w:tcW w:w="3984" w:type="pct"/>
            <w:tcBorders>
              <w:top w:val="single" w:sz="4" w:space="0" w:color="auto"/>
            </w:tcBorders>
            <w:shd w:val="clear" w:color="auto" w:fill="auto"/>
            <w:hideMark/>
          </w:tcPr>
          <w:p w14:paraId="29F811B1" w14:textId="77777777"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 xml:space="preserve">Opći kriteriji prihvatljivosti za instrumente vlasničkog i kvazi-vlasničkog financiranja, dostupni  </w:t>
            </w:r>
            <w:hyperlink r:id="rId16" w:history="1">
              <w:r w:rsidRPr="00057644">
                <w:rPr>
                  <w:rStyle w:val="Hiperveza"/>
                  <w:rFonts w:ascii="Arial" w:hAnsi="Arial" w:cs="Arial"/>
                  <w:sz w:val="20"/>
                  <w:szCs w:val="20"/>
                </w:rPr>
                <w:t>ovdje</w:t>
              </w:r>
            </w:hyperlink>
            <w:r w:rsidRPr="00057644">
              <w:rPr>
                <w:rFonts w:ascii="Arial" w:hAnsi="Arial" w:cs="Arial"/>
                <w:sz w:val="20"/>
                <w:szCs w:val="20"/>
              </w:rPr>
              <w:t>. </w:t>
            </w:r>
          </w:p>
          <w:p w14:paraId="2CCB87BF" w14:textId="77777777" w:rsidR="00AD577A" w:rsidRPr="00057644" w:rsidRDefault="00AD577A" w:rsidP="00083BDB">
            <w:pPr>
              <w:pStyle w:val="paragraph"/>
              <w:spacing w:before="60" w:beforeAutospacing="0" w:after="60" w:afterAutospacing="0" w:line="276" w:lineRule="auto"/>
              <w:ind w:right="86"/>
              <w:jc w:val="both"/>
              <w:rPr>
                <w:rFonts w:ascii="Arial" w:hAnsi="Arial" w:cs="Arial"/>
                <w:sz w:val="20"/>
                <w:szCs w:val="20"/>
              </w:rPr>
            </w:pPr>
            <w:r w:rsidRPr="00057644">
              <w:rPr>
                <w:rFonts w:ascii="Arial" w:hAnsi="Arial" w:cs="Arial"/>
                <w:sz w:val="20"/>
                <w:szCs w:val="20"/>
              </w:rPr>
              <w:t xml:space="preserve">Politika ulaganja u vlasnički kapital i kvazi-vlasnički kapital, dostupna </w:t>
            </w:r>
            <w:hyperlink r:id="rId17" w:history="1">
              <w:r w:rsidRPr="00057644">
                <w:rPr>
                  <w:rStyle w:val="Hiperveza"/>
                  <w:rFonts w:ascii="Arial" w:hAnsi="Arial" w:cs="Arial"/>
                  <w:sz w:val="20"/>
                  <w:szCs w:val="20"/>
                </w:rPr>
                <w:t>ovdje</w:t>
              </w:r>
            </w:hyperlink>
            <w:r w:rsidRPr="00057644">
              <w:rPr>
                <w:rFonts w:ascii="Arial" w:hAnsi="Arial" w:cs="Arial"/>
                <w:sz w:val="20"/>
                <w:szCs w:val="20"/>
              </w:rPr>
              <w:t xml:space="preserve">. </w:t>
            </w:r>
          </w:p>
        </w:tc>
      </w:tr>
    </w:tbl>
    <w:p w14:paraId="057C5B7F" w14:textId="77777777" w:rsidR="00AD577A" w:rsidRPr="00AD577A" w:rsidRDefault="00AD577A" w:rsidP="00AD577A"/>
    <w:p w14:paraId="077809D6" w14:textId="77777777" w:rsidR="002A3770" w:rsidRDefault="002A3770" w:rsidP="002A3770"/>
    <w:p w14:paraId="06ADD93F" w14:textId="77777777" w:rsidR="008314C4" w:rsidRDefault="008314C4" w:rsidP="002A3770"/>
    <w:p w14:paraId="21C515B1" w14:textId="77777777" w:rsidR="00D26B2F" w:rsidRDefault="00D26B2F" w:rsidP="002A3770"/>
    <w:p w14:paraId="6E9AED78" w14:textId="77777777" w:rsidR="00D26B2F" w:rsidRDefault="00D26B2F" w:rsidP="002A3770"/>
    <w:p w14:paraId="387015AB" w14:textId="523E0F53" w:rsidR="009007F4" w:rsidRDefault="00931D75" w:rsidP="00353957">
      <w:pPr>
        <w:pStyle w:val="Naslov1"/>
        <w:numPr>
          <w:ilvl w:val="0"/>
          <w:numId w:val="1"/>
        </w:numPr>
        <w:spacing w:after="120" w:line="276" w:lineRule="auto"/>
        <w:rPr>
          <w:rFonts w:cs="Arial"/>
          <w:sz w:val="22"/>
        </w:rPr>
      </w:pPr>
      <w:bookmarkStart w:id="3" w:name="_Toc193374163"/>
      <w:r w:rsidRPr="006939B7">
        <w:rPr>
          <w:rFonts w:cs="Arial"/>
          <w:sz w:val="22"/>
        </w:rPr>
        <w:t>PODNOŠENJE</w:t>
      </w:r>
      <w:r w:rsidR="00FA3E59" w:rsidRPr="006939B7">
        <w:rPr>
          <w:rFonts w:cs="Arial"/>
          <w:sz w:val="22"/>
        </w:rPr>
        <w:t xml:space="preserve"> </w:t>
      </w:r>
      <w:r w:rsidR="00A37D9B" w:rsidRPr="006939B7">
        <w:rPr>
          <w:rFonts w:cs="Arial"/>
          <w:sz w:val="22"/>
        </w:rPr>
        <w:t>P</w:t>
      </w:r>
      <w:r w:rsidR="000505CA" w:rsidRPr="006939B7">
        <w:rPr>
          <w:rFonts w:cs="Arial"/>
          <w:sz w:val="22"/>
        </w:rPr>
        <w:t>RILIKE ZA ULAGANJE</w:t>
      </w:r>
      <w:bookmarkEnd w:id="3"/>
    </w:p>
    <w:p w14:paraId="7CD19C77" w14:textId="77777777" w:rsidR="00E3693B" w:rsidRPr="00E3693B" w:rsidRDefault="00E3693B" w:rsidP="00E3693B"/>
    <w:p w14:paraId="51174FD4" w14:textId="51C36D9B" w:rsidR="00186160" w:rsidRDefault="007D0DAD">
      <w:pPr>
        <w:spacing w:after="120" w:line="276" w:lineRule="auto"/>
        <w:jc w:val="both"/>
        <w:rPr>
          <w:rFonts w:cs="Arial"/>
        </w:rPr>
      </w:pPr>
      <w:r w:rsidRPr="00634235">
        <w:rPr>
          <w:rFonts w:cs="Arial"/>
        </w:rPr>
        <w:t xml:space="preserve">Prijavitelji podnose </w:t>
      </w:r>
      <w:r w:rsidR="00BF61F5" w:rsidRPr="006939B7">
        <w:rPr>
          <w:rFonts w:cs="Arial"/>
        </w:rPr>
        <w:t>Priliku za ulaganje</w:t>
      </w:r>
      <w:r w:rsidRPr="00634235">
        <w:rPr>
          <w:rFonts w:cs="Arial"/>
        </w:rPr>
        <w:t xml:space="preserve"> </w:t>
      </w:r>
      <w:r w:rsidR="00186160" w:rsidRPr="00634235">
        <w:rPr>
          <w:rFonts w:cs="Arial"/>
        </w:rPr>
        <w:t>na adresu</w:t>
      </w:r>
      <w:r w:rsidR="0055043E" w:rsidRPr="00634235">
        <w:rPr>
          <w:rFonts w:cs="Arial"/>
        </w:rPr>
        <w:t xml:space="preserve"> elektroničke pošte</w:t>
      </w:r>
      <w:r w:rsidR="00186160" w:rsidRPr="00634235">
        <w:rPr>
          <w:rFonts w:cs="Arial"/>
        </w:rPr>
        <w:t xml:space="preserve">: </w:t>
      </w:r>
      <w:hyperlink r:id="rId18" w:history="1">
        <w:r w:rsidR="00186160" w:rsidRPr="00634235">
          <w:rPr>
            <w:rStyle w:val="Hiperveza"/>
            <w:rFonts w:cs="Arial"/>
          </w:rPr>
          <w:t>equity@hbor.hr</w:t>
        </w:r>
      </w:hyperlink>
      <w:r w:rsidR="00186160" w:rsidRPr="00634235">
        <w:rPr>
          <w:rFonts w:cs="Arial"/>
        </w:rPr>
        <w:t>.</w:t>
      </w:r>
      <w:r w:rsidR="0061486D">
        <w:rPr>
          <w:rFonts w:cs="Arial"/>
        </w:rPr>
        <w:t xml:space="preserve"> </w:t>
      </w:r>
    </w:p>
    <w:p w14:paraId="6C00FEB7" w14:textId="67B856A6" w:rsidR="006D2C3C" w:rsidRDefault="0061486D" w:rsidP="0027625E">
      <w:pPr>
        <w:spacing w:after="120" w:line="276" w:lineRule="auto"/>
        <w:jc w:val="both"/>
        <w:rPr>
          <w:rFonts w:cs="Arial"/>
        </w:rPr>
      </w:pPr>
      <w:r w:rsidRPr="00CE3D11">
        <w:rPr>
          <w:rFonts w:cs="Arial"/>
        </w:rPr>
        <w:t xml:space="preserve">Prilika za ulaganje može biti podnesena na </w:t>
      </w:r>
      <w:r w:rsidRPr="004B74DD">
        <w:rPr>
          <w:rFonts w:cs="Arial"/>
        </w:rPr>
        <w:t>hrvatskom ili engleskom jeziku.</w:t>
      </w:r>
    </w:p>
    <w:p w14:paraId="65901349" w14:textId="77777777" w:rsidR="00723B3E" w:rsidRDefault="00723B3E" w:rsidP="00723B3E">
      <w:pPr>
        <w:spacing w:after="120" w:line="276" w:lineRule="auto"/>
        <w:jc w:val="both"/>
        <w:rPr>
          <w:rFonts w:cs="Arial"/>
        </w:rPr>
      </w:pPr>
      <w:r w:rsidRPr="00FC4FBC">
        <w:rPr>
          <w:rFonts w:cs="Arial"/>
        </w:rPr>
        <w:t>Financijski posrednik obvezan je dostaviti ispunjen i potpisanu Izjavu prijavitelja (Prilog 1) kojim potvrđuje da ne ispunjava niti jedan od navedenih kriterija isključenja.</w:t>
      </w:r>
    </w:p>
    <w:p w14:paraId="59FDD2BA" w14:textId="77777777" w:rsidR="00CE3D11" w:rsidRDefault="00CE3D11" w:rsidP="00CE3D11">
      <w:pPr>
        <w:spacing w:after="120" w:line="276" w:lineRule="auto"/>
        <w:jc w:val="both"/>
        <w:rPr>
          <w:rFonts w:cs="Arial"/>
        </w:rPr>
      </w:pPr>
      <w:r w:rsidRPr="00CE3D11">
        <w:rPr>
          <w:rFonts w:cs="Arial"/>
        </w:rPr>
        <w:t xml:space="preserve">Prijavitelj procjenjuje na koji način će najbolje prezentirati svoju Priliku za ulaganje. Iako sadržaj nije strogo definiran, on mora uključivati ključne informacije o tržištu, strategiji ulaganja, društvu za upravljanje i sličnim aspektima. Detaljnije smjernice o sadržaju ovog dokumenta možete </w:t>
      </w:r>
      <w:r w:rsidRPr="00710BE6">
        <w:rPr>
          <w:rFonts w:cs="Arial"/>
        </w:rPr>
        <w:t>pronaći u Prilogu 2 ovog</w:t>
      </w:r>
      <w:r w:rsidRPr="00CE3D11">
        <w:rPr>
          <w:rFonts w:cs="Arial"/>
        </w:rPr>
        <w:t xml:space="preserve"> Poziva.</w:t>
      </w:r>
    </w:p>
    <w:p w14:paraId="0BE942D5" w14:textId="5F22D95D" w:rsidR="0098174F" w:rsidRDefault="003D46FE">
      <w:pPr>
        <w:spacing w:after="120" w:line="276" w:lineRule="auto"/>
        <w:jc w:val="both"/>
        <w:rPr>
          <w:rFonts w:cs="Arial"/>
        </w:rPr>
      </w:pPr>
      <w:r w:rsidRPr="003D46FE">
        <w:rPr>
          <w:rFonts w:cs="Arial"/>
        </w:rPr>
        <w:t>Po primitku Prilike za ulaganje, HBOR će potvrditi primitak i provjeriti sadrži li ona sve potrebne informacije za prvi korak selekcijskog procesa – preliminarni pregled.</w:t>
      </w:r>
      <w:r w:rsidR="00266A92">
        <w:rPr>
          <w:rFonts w:cs="Arial"/>
        </w:rPr>
        <w:t xml:space="preserve"> </w:t>
      </w:r>
      <w:r w:rsidR="0098174F" w:rsidRPr="0098174F">
        <w:rPr>
          <w:rFonts w:cs="Arial"/>
        </w:rPr>
        <w:t>Ukoliko dokumentacija bude potpuna, nastavit će se s daljnjim koracima selekcijskog procesa.</w:t>
      </w:r>
    </w:p>
    <w:p w14:paraId="5A1B312F" w14:textId="77777777" w:rsidR="008314C4" w:rsidRDefault="008314C4">
      <w:pPr>
        <w:spacing w:after="120" w:line="276" w:lineRule="auto"/>
        <w:jc w:val="both"/>
        <w:rPr>
          <w:rFonts w:cs="Arial"/>
        </w:rPr>
      </w:pPr>
    </w:p>
    <w:p w14:paraId="48074153" w14:textId="77777777" w:rsidR="008314C4" w:rsidRDefault="008314C4">
      <w:pPr>
        <w:spacing w:after="120" w:line="276" w:lineRule="auto"/>
        <w:jc w:val="both"/>
        <w:rPr>
          <w:rFonts w:cs="Arial"/>
        </w:rPr>
      </w:pPr>
    </w:p>
    <w:p w14:paraId="1C99BC2F" w14:textId="77777777" w:rsidR="00D26B2F" w:rsidRDefault="00D26B2F">
      <w:pPr>
        <w:spacing w:after="120" w:line="276" w:lineRule="auto"/>
        <w:jc w:val="both"/>
        <w:rPr>
          <w:rFonts w:cs="Arial"/>
        </w:rPr>
      </w:pPr>
    </w:p>
    <w:p w14:paraId="1A2D5BF0" w14:textId="77777777" w:rsidR="00D26B2F" w:rsidRDefault="00D26B2F">
      <w:pPr>
        <w:spacing w:after="120" w:line="276" w:lineRule="auto"/>
        <w:jc w:val="both"/>
        <w:rPr>
          <w:rFonts w:cs="Arial"/>
        </w:rPr>
      </w:pPr>
    </w:p>
    <w:p w14:paraId="4B197DD3" w14:textId="77777777" w:rsidR="00D26B2F" w:rsidRDefault="00D26B2F">
      <w:pPr>
        <w:spacing w:after="120" w:line="276" w:lineRule="auto"/>
        <w:jc w:val="both"/>
        <w:rPr>
          <w:rFonts w:cs="Arial"/>
        </w:rPr>
      </w:pPr>
    </w:p>
    <w:p w14:paraId="34798F1D" w14:textId="77777777" w:rsidR="00D26B2F" w:rsidRDefault="00D26B2F">
      <w:pPr>
        <w:spacing w:after="120" w:line="276" w:lineRule="auto"/>
        <w:jc w:val="both"/>
        <w:rPr>
          <w:rFonts w:cs="Arial"/>
        </w:rPr>
      </w:pPr>
    </w:p>
    <w:p w14:paraId="201D3086" w14:textId="77777777" w:rsidR="00D26B2F" w:rsidRDefault="00D26B2F">
      <w:pPr>
        <w:spacing w:after="120" w:line="276" w:lineRule="auto"/>
        <w:jc w:val="both"/>
        <w:rPr>
          <w:rFonts w:cs="Arial"/>
        </w:rPr>
      </w:pPr>
    </w:p>
    <w:p w14:paraId="0D85276C" w14:textId="77777777" w:rsidR="00D26B2F" w:rsidRDefault="00D26B2F">
      <w:pPr>
        <w:spacing w:after="120" w:line="276" w:lineRule="auto"/>
        <w:jc w:val="both"/>
        <w:rPr>
          <w:rFonts w:cs="Arial"/>
        </w:rPr>
      </w:pPr>
    </w:p>
    <w:p w14:paraId="5C198E67" w14:textId="77777777" w:rsidR="00D26B2F" w:rsidRDefault="00D26B2F">
      <w:pPr>
        <w:spacing w:after="120" w:line="276" w:lineRule="auto"/>
        <w:jc w:val="both"/>
        <w:rPr>
          <w:rFonts w:cs="Arial"/>
        </w:rPr>
      </w:pPr>
    </w:p>
    <w:p w14:paraId="34D6F4EE" w14:textId="77777777" w:rsidR="00D26B2F" w:rsidRDefault="00D26B2F">
      <w:pPr>
        <w:spacing w:after="120" w:line="276" w:lineRule="auto"/>
        <w:jc w:val="both"/>
        <w:rPr>
          <w:rFonts w:cs="Arial"/>
        </w:rPr>
      </w:pPr>
    </w:p>
    <w:p w14:paraId="5BD66C26" w14:textId="77777777" w:rsidR="00D26B2F" w:rsidRDefault="00D26B2F">
      <w:pPr>
        <w:spacing w:after="120" w:line="276" w:lineRule="auto"/>
        <w:jc w:val="both"/>
        <w:rPr>
          <w:rFonts w:cs="Arial"/>
        </w:rPr>
      </w:pPr>
    </w:p>
    <w:p w14:paraId="2867C4E8" w14:textId="77777777" w:rsidR="00D26B2F" w:rsidRDefault="00D26B2F">
      <w:pPr>
        <w:spacing w:after="120" w:line="276" w:lineRule="auto"/>
        <w:jc w:val="both"/>
        <w:rPr>
          <w:rFonts w:cs="Arial"/>
        </w:rPr>
      </w:pPr>
    </w:p>
    <w:p w14:paraId="4B468806" w14:textId="7CBEF5A3" w:rsidR="009007F4" w:rsidRDefault="00FA3E59" w:rsidP="00353957">
      <w:pPr>
        <w:pStyle w:val="Naslov1"/>
        <w:numPr>
          <w:ilvl w:val="0"/>
          <w:numId w:val="1"/>
        </w:numPr>
        <w:spacing w:after="120" w:line="276" w:lineRule="auto"/>
        <w:rPr>
          <w:rFonts w:cs="Arial"/>
          <w:sz w:val="22"/>
        </w:rPr>
      </w:pPr>
      <w:bookmarkStart w:id="4" w:name="_Toc193374164"/>
      <w:r w:rsidRPr="00634235">
        <w:rPr>
          <w:rFonts w:cs="Arial"/>
          <w:sz w:val="22"/>
        </w:rPr>
        <w:lastRenderedPageBreak/>
        <w:t xml:space="preserve">SELEKCIJSKI </w:t>
      </w:r>
      <w:r w:rsidR="006B6BC0" w:rsidRPr="00634235">
        <w:rPr>
          <w:rFonts w:cs="Arial"/>
          <w:sz w:val="22"/>
        </w:rPr>
        <w:t>PROCES</w:t>
      </w:r>
      <w:bookmarkEnd w:id="4"/>
      <w:r w:rsidR="006B6BC0" w:rsidRPr="00634235">
        <w:rPr>
          <w:rFonts w:cs="Arial"/>
          <w:sz w:val="22"/>
        </w:rPr>
        <w:t xml:space="preserve"> </w:t>
      </w:r>
    </w:p>
    <w:p w14:paraId="2CD6BAB2" w14:textId="77777777" w:rsidR="00E3693B" w:rsidRPr="00E3693B" w:rsidRDefault="00E3693B" w:rsidP="00E3693B"/>
    <w:p w14:paraId="00BD3159" w14:textId="3A7C9C4B" w:rsidR="003E1E89" w:rsidRDefault="00733E5A" w:rsidP="006965F1">
      <w:pPr>
        <w:spacing w:after="120" w:line="276" w:lineRule="auto"/>
        <w:jc w:val="both"/>
        <w:rPr>
          <w:rFonts w:cs="Arial"/>
        </w:rPr>
      </w:pPr>
      <w:r w:rsidRPr="00634235">
        <w:rPr>
          <w:rFonts w:cs="Arial"/>
        </w:rPr>
        <w:t xml:space="preserve">Selekcijski </w:t>
      </w:r>
      <w:r w:rsidR="006C6BAD" w:rsidRPr="00634235">
        <w:rPr>
          <w:rFonts w:cs="Arial"/>
        </w:rPr>
        <w:t>proces</w:t>
      </w:r>
      <w:r w:rsidRPr="00634235">
        <w:rPr>
          <w:rFonts w:cs="Arial"/>
        </w:rPr>
        <w:t xml:space="preserve"> </w:t>
      </w:r>
      <w:r w:rsidR="00376798" w:rsidRPr="00634235">
        <w:rPr>
          <w:rFonts w:cs="Arial"/>
        </w:rPr>
        <w:t>Financijskog posrednika</w:t>
      </w:r>
      <w:r w:rsidR="00634504" w:rsidRPr="00634235">
        <w:rPr>
          <w:rFonts w:cs="Arial"/>
        </w:rPr>
        <w:t xml:space="preserve"> provodi se </w:t>
      </w:r>
      <w:r w:rsidR="00876F8A" w:rsidRPr="00634235">
        <w:rPr>
          <w:rFonts w:cs="Arial"/>
        </w:rPr>
        <w:t xml:space="preserve">kroz sljedeće korake: </w:t>
      </w:r>
    </w:p>
    <w:p w14:paraId="76FFB094" w14:textId="77777777" w:rsidR="008314C4" w:rsidRPr="00634235" w:rsidRDefault="008314C4" w:rsidP="006965F1">
      <w:pPr>
        <w:spacing w:after="120" w:line="276" w:lineRule="auto"/>
        <w:jc w:val="both"/>
        <w:rPr>
          <w:rFonts w:cs="Arial"/>
        </w:rPr>
      </w:pPr>
    </w:p>
    <w:p w14:paraId="30FA8774" w14:textId="704AF53A" w:rsidR="00876F8A" w:rsidRPr="00634235" w:rsidRDefault="00B02D20" w:rsidP="006965F1">
      <w:pPr>
        <w:spacing w:after="120" w:line="276" w:lineRule="auto"/>
        <w:jc w:val="both"/>
        <w:rPr>
          <w:rFonts w:cs="Arial"/>
          <w:i/>
          <w:u w:val="single"/>
        </w:rPr>
      </w:pPr>
      <w:r w:rsidRPr="00634235">
        <w:rPr>
          <w:rFonts w:cs="Arial"/>
          <w:i/>
          <w:u w:val="single"/>
        </w:rPr>
        <w:t xml:space="preserve">Korak 1. </w:t>
      </w:r>
      <w:r w:rsidR="00876F8A" w:rsidRPr="00634235">
        <w:rPr>
          <w:rFonts w:cs="Arial"/>
          <w:i/>
          <w:u w:val="single"/>
        </w:rPr>
        <w:t>Preliminarni pregled</w:t>
      </w:r>
    </w:p>
    <w:p w14:paraId="4889ABBA" w14:textId="76BBEB56" w:rsidR="00383FF9" w:rsidRPr="00634235" w:rsidRDefault="005F3772" w:rsidP="006965F1">
      <w:pPr>
        <w:spacing w:after="120" w:line="276" w:lineRule="auto"/>
        <w:jc w:val="both"/>
        <w:rPr>
          <w:rFonts w:cs="Arial"/>
        </w:rPr>
      </w:pPr>
      <w:r w:rsidRPr="00634235">
        <w:rPr>
          <w:rFonts w:cs="Arial"/>
        </w:rPr>
        <w:t>Preliminarni pregled obuhvaća pregled s</w:t>
      </w:r>
      <w:r w:rsidR="00D7714D" w:rsidRPr="00634235">
        <w:rPr>
          <w:rFonts w:cs="Arial"/>
        </w:rPr>
        <w:t>adržaja zaprimljen</w:t>
      </w:r>
      <w:r w:rsidR="00DD7E48" w:rsidRPr="00634235">
        <w:rPr>
          <w:rFonts w:cs="Arial"/>
        </w:rPr>
        <w:t xml:space="preserve">ih </w:t>
      </w:r>
      <w:r w:rsidR="007443BF" w:rsidRPr="00634235">
        <w:rPr>
          <w:rFonts w:cs="Arial"/>
        </w:rPr>
        <w:t>Prilik</w:t>
      </w:r>
      <w:r w:rsidR="00DD7E48" w:rsidRPr="00634235">
        <w:rPr>
          <w:rFonts w:cs="Arial"/>
        </w:rPr>
        <w:t>a</w:t>
      </w:r>
      <w:r w:rsidR="007443BF" w:rsidRPr="00634235">
        <w:rPr>
          <w:rFonts w:cs="Arial"/>
        </w:rPr>
        <w:t xml:space="preserve"> za ulaganje</w:t>
      </w:r>
      <w:r w:rsidR="00383FF9" w:rsidRPr="00634235">
        <w:rPr>
          <w:rFonts w:cs="Arial"/>
        </w:rPr>
        <w:t xml:space="preserve">. </w:t>
      </w:r>
    </w:p>
    <w:p w14:paraId="5B09A5A7" w14:textId="0C0C20DF" w:rsidR="00A24EE1" w:rsidRPr="00634235" w:rsidRDefault="008C7EB0" w:rsidP="006965F1">
      <w:pPr>
        <w:spacing w:after="120" w:line="276" w:lineRule="auto"/>
        <w:jc w:val="both"/>
        <w:rPr>
          <w:rFonts w:cs="Arial"/>
        </w:rPr>
      </w:pPr>
      <w:r w:rsidRPr="006939B7">
        <w:rPr>
          <w:rFonts w:cs="Arial"/>
        </w:rPr>
        <w:t>Pr</w:t>
      </w:r>
      <w:r w:rsidR="00876C94" w:rsidRPr="006939B7">
        <w:rPr>
          <w:rFonts w:cs="Arial"/>
        </w:rPr>
        <w:t xml:space="preserve">ilike za ulaganje </w:t>
      </w:r>
      <w:r w:rsidRPr="00634235">
        <w:rPr>
          <w:rFonts w:cs="Arial"/>
        </w:rPr>
        <w:t xml:space="preserve">koje sadrže </w:t>
      </w:r>
      <w:r w:rsidRPr="00634235">
        <w:rPr>
          <w:rFonts w:cs="Arial"/>
          <w:b/>
        </w:rPr>
        <w:t>sve elemente propisane Pozivom</w:t>
      </w:r>
      <w:r w:rsidRPr="00634235">
        <w:rPr>
          <w:rFonts w:cs="Arial"/>
        </w:rPr>
        <w:t xml:space="preserve"> </w:t>
      </w:r>
      <w:r w:rsidR="00762147" w:rsidRPr="00634235">
        <w:rPr>
          <w:rFonts w:cs="Arial"/>
        </w:rPr>
        <w:t xml:space="preserve">nastavljaju selekcijski </w:t>
      </w:r>
      <w:r w:rsidR="006C6BAD" w:rsidRPr="00634235">
        <w:rPr>
          <w:rFonts w:cs="Arial"/>
        </w:rPr>
        <w:t>proces</w:t>
      </w:r>
      <w:r w:rsidR="001D0AA5" w:rsidRPr="00634235">
        <w:rPr>
          <w:rFonts w:cs="Arial"/>
        </w:rPr>
        <w:t xml:space="preserve">. </w:t>
      </w:r>
    </w:p>
    <w:p w14:paraId="02EBD99D" w14:textId="6F0AE102" w:rsidR="003E1E89" w:rsidRDefault="006C6BAD" w:rsidP="006965F1">
      <w:pPr>
        <w:spacing w:after="120" w:line="276" w:lineRule="auto"/>
        <w:jc w:val="both"/>
        <w:rPr>
          <w:rFonts w:cs="Arial"/>
        </w:rPr>
      </w:pPr>
      <w:r w:rsidRPr="00634235">
        <w:rPr>
          <w:rFonts w:cs="Arial"/>
        </w:rPr>
        <w:t>Ako se za pojedinu Priliku za ulaganje p</w:t>
      </w:r>
      <w:r w:rsidR="00CA1FA6" w:rsidRPr="00634235">
        <w:rPr>
          <w:rFonts w:cs="Arial"/>
        </w:rPr>
        <w:t xml:space="preserve">rocijeni da dio informacija nije dovoljno jasan i da su potrebna </w:t>
      </w:r>
      <w:r w:rsidR="00773CE8" w:rsidRPr="00634235">
        <w:rPr>
          <w:rFonts w:cs="Arial"/>
        </w:rPr>
        <w:t xml:space="preserve">dodatna </w:t>
      </w:r>
      <w:r w:rsidR="00CA1FA6" w:rsidRPr="00634235">
        <w:rPr>
          <w:rFonts w:cs="Arial"/>
        </w:rPr>
        <w:t xml:space="preserve">pojašnjenja, ista će biti zatražena uz definirani rok za dostavu </w:t>
      </w:r>
      <w:r w:rsidR="00974DA1" w:rsidRPr="00634235">
        <w:rPr>
          <w:rFonts w:cs="Arial"/>
        </w:rPr>
        <w:t>pojašnjenja.</w:t>
      </w:r>
    </w:p>
    <w:p w14:paraId="46593FF0" w14:textId="77777777" w:rsidR="007B18F0" w:rsidRPr="008314C4" w:rsidRDefault="007B18F0" w:rsidP="006965F1">
      <w:pPr>
        <w:spacing w:after="120" w:line="276" w:lineRule="auto"/>
        <w:jc w:val="both"/>
        <w:rPr>
          <w:rFonts w:cs="Arial"/>
        </w:rPr>
      </w:pPr>
    </w:p>
    <w:p w14:paraId="3F7398E0" w14:textId="694C6AA9" w:rsidR="00B02D20" w:rsidRPr="00634235" w:rsidRDefault="00B02D20" w:rsidP="006965F1">
      <w:pPr>
        <w:spacing w:after="120" w:line="276" w:lineRule="auto"/>
        <w:jc w:val="both"/>
        <w:rPr>
          <w:rFonts w:cs="Arial"/>
          <w:i/>
          <w:u w:val="single"/>
        </w:rPr>
      </w:pPr>
      <w:r w:rsidRPr="00634235">
        <w:rPr>
          <w:rFonts w:cs="Arial"/>
          <w:i/>
          <w:u w:val="single"/>
        </w:rPr>
        <w:t>Korak 2. Upoznavanje s timom DZU</w:t>
      </w:r>
    </w:p>
    <w:p w14:paraId="41105451" w14:textId="11235374" w:rsidR="0017685A" w:rsidRPr="00634235" w:rsidRDefault="005B7F80" w:rsidP="00C82ED7">
      <w:pPr>
        <w:tabs>
          <w:tab w:val="left" w:pos="2835"/>
        </w:tabs>
        <w:spacing w:after="120" w:line="276" w:lineRule="auto"/>
        <w:jc w:val="both"/>
        <w:rPr>
          <w:rFonts w:cs="Arial"/>
        </w:rPr>
      </w:pPr>
      <w:r w:rsidRPr="00634235">
        <w:rPr>
          <w:rFonts w:cs="Arial"/>
        </w:rPr>
        <w:t xml:space="preserve">Ukoliko </w:t>
      </w:r>
      <w:r w:rsidR="007104A7" w:rsidRPr="00634235">
        <w:rPr>
          <w:rFonts w:cs="Arial"/>
        </w:rPr>
        <w:t xml:space="preserve">se utvrdi da </w:t>
      </w:r>
      <w:r w:rsidR="00A13CB7" w:rsidRPr="00634235">
        <w:rPr>
          <w:rFonts w:cs="Arial"/>
        </w:rPr>
        <w:t xml:space="preserve">Prilika za ulaganje </w:t>
      </w:r>
      <w:r w:rsidR="009066C0" w:rsidRPr="00634235">
        <w:rPr>
          <w:rFonts w:cs="Arial"/>
        </w:rPr>
        <w:t>zadovolji</w:t>
      </w:r>
      <w:r w:rsidR="00A13CB7" w:rsidRPr="00634235">
        <w:rPr>
          <w:rFonts w:cs="Arial"/>
        </w:rPr>
        <w:t xml:space="preserve"> uvjete </w:t>
      </w:r>
      <w:r w:rsidR="009066C0" w:rsidRPr="00634235">
        <w:rPr>
          <w:rFonts w:cs="Arial"/>
        </w:rPr>
        <w:t xml:space="preserve">ovog </w:t>
      </w:r>
      <w:r w:rsidR="00A13CB7" w:rsidRPr="00634235">
        <w:rPr>
          <w:rFonts w:cs="Arial"/>
        </w:rPr>
        <w:t>Poziva</w:t>
      </w:r>
      <w:r w:rsidR="00B77A8C" w:rsidRPr="00634235">
        <w:rPr>
          <w:rFonts w:cs="Arial"/>
        </w:rPr>
        <w:t>, Programa</w:t>
      </w:r>
      <w:r w:rsidR="00C47DD9" w:rsidRPr="00634235">
        <w:rPr>
          <w:rFonts w:cs="Arial"/>
        </w:rPr>
        <w:t xml:space="preserve"> i Politike ulaganja</w:t>
      </w:r>
      <w:r w:rsidR="00C47DD9" w:rsidRPr="00634235">
        <w:rPr>
          <w:rStyle w:val="Referencafusnote"/>
          <w:rFonts w:cs="Arial"/>
        </w:rPr>
        <w:footnoteReference w:id="13"/>
      </w:r>
      <w:r w:rsidR="007104A7" w:rsidRPr="00634235">
        <w:rPr>
          <w:rFonts w:cs="Arial"/>
        </w:rPr>
        <w:t xml:space="preserve"> održat će se </w:t>
      </w:r>
      <w:r w:rsidR="007104A7" w:rsidRPr="4CF23715">
        <w:rPr>
          <w:rFonts w:cs="Arial"/>
          <w:b/>
          <w:bCs/>
        </w:rPr>
        <w:t xml:space="preserve">sastanak uživo s timom </w:t>
      </w:r>
      <w:r w:rsidR="00595493" w:rsidRPr="4CF23715">
        <w:rPr>
          <w:rFonts w:cs="Arial"/>
          <w:b/>
          <w:bCs/>
        </w:rPr>
        <w:t>DZU kako bi se utvrdila spremnost tima</w:t>
      </w:r>
      <w:r w:rsidR="00595493" w:rsidRPr="00634235">
        <w:rPr>
          <w:rFonts w:cs="Arial"/>
        </w:rPr>
        <w:t xml:space="preserve">. U iznimnim slučajevima sastanak se može održati i putem </w:t>
      </w:r>
      <w:r w:rsidR="0031250D" w:rsidRPr="00634235">
        <w:rPr>
          <w:rFonts w:cs="Arial"/>
        </w:rPr>
        <w:t xml:space="preserve">videokonferencije. </w:t>
      </w:r>
    </w:p>
    <w:p w14:paraId="31D2A30E" w14:textId="0C25A857" w:rsidR="009D0A44" w:rsidRPr="00634235" w:rsidRDefault="009D0A44" w:rsidP="006965F1">
      <w:pPr>
        <w:spacing w:after="120" w:line="276" w:lineRule="auto"/>
        <w:jc w:val="both"/>
        <w:rPr>
          <w:rFonts w:cs="Arial"/>
        </w:rPr>
      </w:pPr>
      <w:r w:rsidRPr="00634235">
        <w:rPr>
          <w:rFonts w:cs="Arial"/>
        </w:rPr>
        <w:t xml:space="preserve">Tijekom sastanka se prolazi Prilika za ulaganje koju je identificirao tim DZU i pojašnjava HBOR-ov daljnji selekcijski </w:t>
      </w:r>
      <w:r w:rsidR="00CA6E2B" w:rsidRPr="00634235">
        <w:rPr>
          <w:rFonts w:cs="Arial"/>
        </w:rPr>
        <w:t>proces</w:t>
      </w:r>
      <w:r w:rsidRPr="00634235">
        <w:rPr>
          <w:rFonts w:cs="Arial"/>
        </w:rPr>
        <w:t>. Cilj sastanka je bolje upoznati tim DZU, njihovo iskustvo, kvalifikacije i međusobne odnose unutar tima, način donošenja odluka, parametre budućeg AIF-a, i sl.</w:t>
      </w:r>
    </w:p>
    <w:p w14:paraId="4282906C" w14:textId="4E0F1CDB" w:rsidR="00AA3D34" w:rsidRPr="00634235" w:rsidRDefault="009F5349" w:rsidP="006965F1">
      <w:pPr>
        <w:spacing w:after="120" w:line="276" w:lineRule="auto"/>
        <w:jc w:val="both"/>
        <w:rPr>
          <w:rFonts w:cs="Arial"/>
        </w:rPr>
      </w:pPr>
      <w:r w:rsidRPr="00634235">
        <w:rPr>
          <w:rFonts w:cs="Arial"/>
        </w:rPr>
        <w:t>Nakon održanog sastanka</w:t>
      </w:r>
      <w:r w:rsidR="00D14AE3" w:rsidRPr="00634235">
        <w:rPr>
          <w:rFonts w:cs="Arial"/>
        </w:rPr>
        <w:t>,</w:t>
      </w:r>
      <w:r w:rsidR="00A84B63" w:rsidRPr="00634235">
        <w:rPr>
          <w:rFonts w:cs="Arial"/>
        </w:rPr>
        <w:t xml:space="preserve"> nad odabranim timovima DZU nastavit će se selekcijski proces.</w:t>
      </w:r>
      <w:r w:rsidR="00D14AE3" w:rsidRPr="00634235">
        <w:rPr>
          <w:rFonts w:cs="Arial"/>
        </w:rPr>
        <w:t xml:space="preserve"> Oni timovi </w:t>
      </w:r>
      <w:r w:rsidR="00B2608F" w:rsidRPr="00634235">
        <w:rPr>
          <w:rFonts w:cs="Arial"/>
        </w:rPr>
        <w:t xml:space="preserve">DZU </w:t>
      </w:r>
      <w:r w:rsidR="00AA3D34" w:rsidRPr="00634235">
        <w:rPr>
          <w:rFonts w:cs="Arial"/>
        </w:rPr>
        <w:t xml:space="preserve">nad kojima se selekcijski </w:t>
      </w:r>
      <w:r w:rsidR="00CA6E2B" w:rsidRPr="00634235">
        <w:rPr>
          <w:rFonts w:cs="Arial"/>
        </w:rPr>
        <w:t>proces</w:t>
      </w:r>
      <w:r w:rsidR="00AA3D34" w:rsidRPr="00634235">
        <w:rPr>
          <w:rFonts w:cs="Arial"/>
        </w:rPr>
        <w:t xml:space="preserve"> neće nastaviti </w:t>
      </w:r>
      <w:r w:rsidR="00D14AE3" w:rsidRPr="00634235">
        <w:rPr>
          <w:rFonts w:cs="Arial"/>
        </w:rPr>
        <w:t>o istome</w:t>
      </w:r>
      <w:r w:rsidR="00A65D58" w:rsidRPr="00634235">
        <w:rPr>
          <w:rFonts w:cs="Arial"/>
        </w:rPr>
        <w:t xml:space="preserve"> će biti obaviješteni</w:t>
      </w:r>
      <w:r w:rsidR="00D14AE3" w:rsidRPr="00634235">
        <w:rPr>
          <w:rFonts w:cs="Arial"/>
        </w:rPr>
        <w:t xml:space="preserve"> pisanim putem </w:t>
      </w:r>
      <w:r w:rsidR="00AA3D34" w:rsidRPr="00634235">
        <w:rPr>
          <w:rFonts w:cs="Arial"/>
        </w:rPr>
        <w:t>uz napomenu da</w:t>
      </w:r>
      <w:r w:rsidR="00934A5B" w:rsidRPr="00634235">
        <w:rPr>
          <w:rFonts w:cs="Arial"/>
        </w:rPr>
        <w:t xml:space="preserve"> HBOR može u sljedećih 12 mjeseci, </w:t>
      </w:r>
      <w:r w:rsidR="00086D58" w:rsidRPr="00634235">
        <w:rPr>
          <w:rFonts w:cs="Arial"/>
        </w:rPr>
        <w:t>u slučaju potrebe</w:t>
      </w:r>
      <w:r w:rsidR="009059C4" w:rsidRPr="00634235">
        <w:rPr>
          <w:rFonts w:cs="Arial"/>
        </w:rPr>
        <w:t xml:space="preserve"> </w:t>
      </w:r>
      <w:r w:rsidR="00086D58" w:rsidRPr="00634235">
        <w:rPr>
          <w:rFonts w:cs="Arial"/>
        </w:rPr>
        <w:t>(npr. odustajanje odabranog DZU ili sl.)</w:t>
      </w:r>
      <w:r w:rsidR="00AA3D34" w:rsidRPr="00634235">
        <w:rPr>
          <w:rFonts w:cs="Arial"/>
        </w:rPr>
        <w:t xml:space="preserve"> nad njima nastaviti selekcijski </w:t>
      </w:r>
      <w:r w:rsidR="00CA6E2B" w:rsidRPr="00634235">
        <w:rPr>
          <w:rFonts w:cs="Arial"/>
        </w:rPr>
        <w:t>proces</w:t>
      </w:r>
      <w:r w:rsidR="00AA3D34" w:rsidRPr="00634235">
        <w:rPr>
          <w:rFonts w:cs="Arial"/>
        </w:rPr>
        <w:t>.</w:t>
      </w:r>
    </w:p>
    <w:p w14:paraId="6D1D9A46" w14:textId="77777777" w:rsidR="0065003B" w:rsidRPr="00634235" w:rsidRDefault="0065003B" w:rsidP="006965F1">
      <w:pPr>
        <w:spacing w:after="120" w:line="276" w:lineRule="auto"/>
        <w:jc w:val="both"/>
        <w:rPr>
          <w:rFonts w:cs="Arial"/>
        </w:rPr>
      </w:pPr>
    </w:p>
    <w:p w14:paraId="3D26FCE7" w14:textId="73348647" w:rsidR="00B02D20" w:rsidRPr="00634235" w:rsidRDefault="00B02D20" w:rsidP="006965F1">
      <w:pPr>
        <w:spacing w:after="120" w:line="276" w:lineRule="auto"/>
        <w:jc w:val="both"/>
        <w:rPr>
          <w:rFonts w:cs="Arial"/>
          <w:i/>
          <w:u w:val="single"/>
        </w:rPr>
      </w:pPr>
      <w:r w:rsidRPr="00634235">
        <w:rPr>
          <w:rFonts w:cs="Arial"/>
          <w:i/>
          <w:u w:val="single"/>
        </w:rPr>
        <w:t>Korak 3. Dubinsko snimanje</w:t>
      </w:r>
    </w:p>
    <w:p w14:paraId="036CFEE6" w14:textId="77777777" w:rsidR="00BE7ED6" w:rsidRPr="00634235" w:rsidRDefault="00B9186B" w:rsidP="006965F1">
      <w:pPr>
        <w:spacing w:after="120" w:line="276" w:lineRule="auto"/>
        <w:jc w:val="both"/>
        <w:rPr>
          <w:rFonts w:cs="Arial"/>
        </w:rPr>
      </w:pPr>
      <w:r w:rsidRPr="00634235">
        <w:rPr>
          <w:rFonts w:cs="Arial"/>
        </w:rPr>
        <w:t xml:space="preserve">Za potrebe dubinskog snimanja potencijalnim timovima DZU šalje se </w:t>
      </w:r>
      <w:r w:rsidRPr="00634235">
        <w:rPr>
          <w:rFonts w:cs="Arial"/>
          <w:b/>
        </w:rPr>
        <w:t>upitnik s popisom dokumentacije koju je potrebno dostaviti</w:t>
      </w:r>
      <w:r w:rsidRPr="00634235">
        <w:rPr>
          <w:rFonts w:cs="Arial"/>
        </w:rPr>
        <w:t xml:space="preserve">. Nakon </w:t>
      </w:r>
      <w:r w:rsidR="00E91F19" w:rsidRPr="00634235">
        <w:rPr>
          <w:rFonts w:cs="Arial"/>
        </w:rPr>
        <w:t>zaprimanja potrebne dokumentacije, ista</w:t>
      </w:r>
      <w:r w:rsidRPr="00634235">
        <w:rPr>
          <w:rFonts w:cs="Arial"/>
        </w:rPr>
        <w:t xml:space="preserve"> se interno analizira te se po završetku analize organizira </w:t>
      </w:r>
      <w:r w:rsidRPr="00634235">
        <w:rPr>
          <w:rFonts w:cs="Arial"/>
          <w:b/>
        </w:rPr>
        <w:t>posjet timu DZU</w:t>
      </w:r>
      <w:r w:rsidRPr="00634235">
        <w:rPr>
          <w:rFonts w:cs="Arial"/>
        </w:rPr>
        <w:t xml:space="preserve"> u njihovim prostorijama. Ukoliko je </w:t>
      </w:r>
      <w:r w:rsidR="00683C7E" w:rsidRPr="00634235">
        <w:rPr>
          <w:rFonts w:cs="Arial"/>
        </w:rPr>
        <w:t>DZU</w:t>
      </w:r>
      <w:r w:rsidRPr="00634235">
        <w:rPr>
          <w:rFonts w:cs="Arial"/>
        </w:rPr>
        <w:t xml:space="preserve"> tek u osnivanju i još nema svoje službene prostorije, sastanak se može održati i na nekoj drugoj lokaciji.</w:t>
      </w:r>
      <w:r w:rsidR="00C70F8B" w:rsidRPr="00634235">
        <w:rPr>
          <w:rFonts w:cs="Arial"/>
        </w:rPr>
        <w:t xml:space="preserve"> </w:t>
      </w:r>
    </w:p>
    <w:p w14:paraId="05745AA6" w14:textId="1923EB15" w:rsidR="00B642D8" w:rsidRPr="00634235" w:rsidRDefault="00503889" w:rsidP="006965F1">
      <w:pPr>
        <w:spacing w:after="120" w:line="276" w:lineRule="auto"/>
        <w:jc w:val="both"/>
        <w:rPr>
          <w:rFonts w:cs="Arial"/>
        </w:rPr>
      </w:pPr>
      <w:r w:rsidRPr="00634235">
        <w:rPr>
          <w:rFonts w:cs="Arial"/>
        </w:rPr>
        <w:t>Ključna područja koja se analiziraju prilikom dubinskog snimanja:</w:t>
      </w:r>
      <w:r w:rsidR="0041434B" w:rsidRPr="00634235">
        <w:rPr>
          <w:rFonts w:cs="Arial"/>
        </w:rPr>
        <w:t xml:space="preserve"> </w:t>
      </w:r>
      <w:r w:rsidRPr="00634235">
        <w:rPr>
          <w:rFonts w:cs="Arial"/>
        </w:rPr>
        <w:t xml:space="preserve">strategija, </w:t>
      </w:r>
      <w:r w:rsidR="008D0835" w:rsidRPr="00634235">
        <w:rPr>
          <w:rFonts w:cs="Arial"/>
        </w:rPr>
        <w:t xml:space="preserve">integritet i reputacija </w:t>
      </w:r>
      <w:r w:rsidR="00B642D8" w:rsidRPr="00634235">
        <w:rPr>
          <w:rFonts w:cs="Arial"/>
        </w:rPr>
        <w:t>članova tima</w:t>
      </w:r>
      <w:r w:rsidRPr="00634235">
        <w:rPr>
          <w:rFonts w:cs="Arial"/>
        </w:rPr>
        <w:t xml:space="preserve"> DZU, dosadašnje iskustvo, </w:t>
      </w:r>
      <w:r w:rsidR="00B642D8" w:rsidRPr="00634235">
        <w:rPr>
          <w:rFonts w:cs="Arial"/>
        </w:rPr>
        <w:t>poznavanje tržišta</w:t>
      </w:r>
      <w:r w:rsidRPr="00634235">
        <w:rPr>
          <w:rFonts w:cs="Arial"/>
        </w:rPr>
        <w:t xml:space="preserve">, parametri fonda. </w:t>
      </w:r>
    </w:p>
    <w:p w14:paraId="277F7A66" w14:textId="77777777" w:rsidR="000F131C" w:rsidRPr="00634235" w:rsidRDefault="000F131C" w:rsidP="006965F1">
      <w:pPr>
        <w:spacing w:after="120" w:line="276" w:lineRule="auto"/>
        <w:jc w:val="both"/>
        <w:rPr>
          <w:rFonts w:cs="Arial"/>
        </w:rPr>
      </w:pPr>
    </w:p>
    <w:p w14:paraId="3B06C157" w14:textId="4B4169AA" w:rsidR="00B02D20" w:rsidRPr="00634235" w:rsidRDefault="00B02D20" w:rsidP="006965F1">
      <w:pPr>
        <w:spacing w:after="120" w:line="276" w:lineRule="auto"/>
        <w:jc w:val="both"/>
        <w:rPr>
          <w:rFonts w:cs="Arial"/>
          <w:i/>
          <w:u w:val="single"/>
        </w:rPr>
      </w:pPr>
      <w:r w:rsidRPr="00634235">
        <w:rPr>
          <w:rFonts w:cs="Arial"/>
          <w:i/>
          <w:u w:val="single"/>
        </w:rPr>
        <w:t>Korak 4. Izbor</w:t>
      </w:r>
    </w:p>
    <w:p w14:paraId="55995444" w14:textId="3B7EE5C8" w:rsidR="00AB0578" w:rsidRDefault="00285DFB" w:rsidP="008B2350">
      <w:pPr>
        <w:spacing w:after="120" w:line="276" w:lineRule="auto"/>
        <w:jc w:val="both"/>
        <w:rPr>
          <w:rFonts w:cs="Arial"/>
        </w:rPr>
      </w:pPr>
      <w:r w:rsidRPr="4CF23715">
        <w:rPr>
          <w:rFonts w:cs="Arial"/>
        </w:rPr>
        <w:t xml:space="preserve">Po završetku </w:t>
      </w:r>
      <w:r w:rsidR="00537B34" w:rsidRPr="4CF23715">
        <w:rPr>
          <w:rFonts w:cs="Arial"/>
        </w:rPr>
        <w:t>d</w:t>
      </w:r>
      <w:r w:rsidRPr="4CF23715">
        <w:rPr>
          <w:rFonts w:cs="Arial"/>
        </w:rPr>
        <w:t>ubinskog snimanja, odabire se najbolja Prilika za ulaganje</w:t>
      </w:r>
      <w:r w:rsidR="009033F4" w:rsidRPr="4CF23715">
        <w:rPr>
          <w:rFonts w:cs="Arial"/>
        </w:rPr>
        <w:t xml:space="preserve"> (</w:t>
      </w:r>
      <w:r w:rsidRPr="4CF23715">
        <w:rPr>
          <w:rFonts w:cs="Arial"/>
        </w:rPr>
        <w:t>jedna ili više</w:t>
      </w:r>
      <w:r w:rsidR="00E56198" w:rsidRPr="4CF23715">
        <w:rPr>
          <w:rFonts w:cs="Arial"/>
        </w:rPr>
        <w:t>)</w:t>
      </w:r>
      <w:r w:rsidR="008B2350" w:rsidRPr="4CF23715">
        <w:rPr>
          <w:rFonts w:cs="Arial"/>
        </w:rPr>
        <w:t>.</w:t>
      </w:r>
    </w:p>
    <w:p w14:paraId="114FE651" w14:textId="77777777" w:rsidR="00FC298D" w:rsidRDefault="00FC298D" w:rsidP="008B2350">
      <w:pPr>
        <w:spacing w:after="120" w:line="276" w:lineRule="auto"/>
        <w:jc w:val="both"/>
        <w:rPr>
          <w:rFonts w:cs="Arial"/>
        </w:rPr>
      </w:pPr>
    </w:p>
    <w:sectPr w:rsidR="00FC298D" w:rsidSect="008E52CF">
      <w:pgSz w:w="11907" w:h="16840" w:code="9"/>
      <w:pgMar w:top="1440" w:right="1080" w:bottom="1440" w:left="10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0A353" w14:textId="77777777" w:rsidR="00ED52F8" w:rsidRPr="00634235" w:rsidRDefault="00ED52F8" w:rsidP="006372FA">
      <w:r w:rsidRPr="00634235">
        <w:separator/>
      </w:r>
    </w:p>
  </w:endnote>
  <w:endnote w:type="continuationSeparator" w:id="0">
    <w:p w14:paraId="62BF42BC" w14:textId="77777777" w:rsidR="00ED52F8" w:rsidRPr="00634235" w:rsidRDefault="00ED52F8" w:rsidP="006372FA">
      <w:r w:rsidRPr="00634235">
        <w:continuationSeparator/>
      </w:r>
    </w:p>
  </w:endnote>
  <w:endnote w:type="continuationNotice" w:id="1">
    <w:p w14:paraId="0E653AFA" w14:textId="77777777" w:rsidR="00ED52F8" w:rsidRPr="00634235" w:rsidRDefault="00ED5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869754"/>
      <w:docPartObj>
        <w:docPartGallery w:val="Page Numbers (Bottom of Page)"/>
        <w:docPartUnique/>
      </w:docPartObj>
    </w:sdtPr>
    <w:sdtContent>
      <w:p w14:paraId="71D2F6F2" w14:textId="71C3FC1B" w:rsidR="00234E7F" w:rsidRDefault="00234E7F">
        <w:pPr>
          <w:pStyle w:val="Podnoje"/>
          <w:jc w:val="right"/>
        </w:pPr>
        <w:r>
          <w:fldChar w:fldCharType="begin"/>
        </w:r>
        <w:r>
          <w:instrText>PAGE   \* MERGEFORMAT</w:instrText>
        </w:r>
        <w:r>
          <w:fldChar w:fldCharType="separate"/>
        </w:r>
        <w:r>
          <w:t>2</w:t>
        </w:r>
        <w:r>
          <w:fldChar w:fldCharType="end"/>
        </w:r>
      </w:p>
    </w:sdtContent>
  </w:sdt>
  <w:p w14:paraId="5B51C429" w14:textId="6BC93A74" w:rsidR="00EB57A4" w:rsidRPr="00B241B0" w:rsidRDefault="00EB57A4" w:rsidP="00234E7F">
    <w:pPr>
      <w:pStyle w:val="Podnoje"/>
      <w:tabs>
        <w:tab w:val="left" w:pos="901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210188"/>
      <w:docPartObj>
        <w:docPartGallery w:val="Page Numbers (Bottom of Page)"/>
        <w:docPartUnique/>
      </w:docPartObj>
    </w:sdtPr>
    <w:sdtEndPr/>
    <w:sdtContent>
      <w:p w14:paraId="5A42093C" w14:textId="5B0C9D99" w:rsidR="00CA03AF" w:rsidRDefault="00AB0628" w:rsidP="00234E7F">
        <w:pPr>
          <w:pStyle w:val="Podnoj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1339B" w14:textId="77777777" w:rsidR="00ED52F8" w:rsidRPr="00634235" w:rsidRDefault="00ED52F8" w:rsidP="006372FA">
      <w:r w:rsidRPr="00634235">
        <w:separator/>
      </w:r>
    </w:p>
  </w:footnote>
  <w:footnote w:type="continuationSeparator" w:id="0">
    <w:p w14:paraId="7DA8D594" w14:textId="77777777" w:rsidR="00ED52F8" w:rsidRPr="00634235" w:rsidRDefault="00ED52F8" w:rsidP="006372FA">
      <w:r w:rsidRPr="00634235">
        <w:continuationSeparator/>
      </w:r>
    </w:p>
  </w:footnote>
  <w:footnote w:type="continuationNotice" w:id="1">
    <w:p w14:paraId="66F96E8C" w14:textId="77777777" w:rsidR="00ED52F8" w:rsidRPr="00634235" w:rsidRDefault="00ED52F8"/>
  </w:footnote>
  <w:footnote w:id="2">
    <w:p w14:paraId="6E8F9C6B" w14:textId="511B528C" w:rsidR="00B16C91" w:rsidRPr="0078457F" w:rsidRDefault="00B16C91" w:rsidP="00B16C91">
      <w:pPr>
        <w:pStyle w:val="Tekstfusnote"/>
        <w:rPr>
          <w:sz w:val="16"/>
          <w:szCs w:val="16"/>
        </w:rPr>
      </w:pPr>
      <w:r w:rsidRPr="0078457F">
        <w:rPr>
          <w:rStyle w:val="Referencafusnote"/>
          <w:sz w:val="14"/>
          <w:szCs w:val="14"/>
        </w:rPr>
        <w:footnoteRef/>
      </w:r>
      <w:r w:rsidRPr="0078457F">
        <w:rPr>
          <w:sz w:val="14"/>
          <w:szCs w:val="14"/>
        </w:rPr>
        <w:t xml:space="preserve"> </w:t>
      </w:r>
      <w:r w:rsidR="00CB48DC" w:rsidRPr="0078457F">
        <w:rPr>
          <w:sz w:val="14"/>
          <w:szCs w:val="14"/>
          <w:lang w:val="en-US"/>
        </w:rPr>
        <w:t xml:space="preserve">Invest Europe,  Glossary and methodology: </w:t>
      </w:r>
      <w:hyperlink r:id="rId1" w:history="1">
        <w:r w:rsidR="00CB48DC" w:rsidRPr="0078457F">
          <w:rPr>
            <w:rStyle w:val="Hiperveza"/>
            <w:sz w:val="14"/>
            <w:szCs w:val="14"/>
            <w:lang w:val="en-US"/>
          </w:rPr>
          <w:t>https://www.investeurope.eu/media/2784/invest-europe-research-methodology-and-definitions.xlsx</w:t>
        </w:r>
      </w:hyperlink>
      <w:r w:rsidR="00CB48DC" w:rsidRPr="0078457F">
        <w:rPr>
          <w:sz w:val="14"/>
          <w:szCs w:val="14"/>
          <w:lang w:val="en-US"/>
        </w:rPr>
        <w:t xml:space="preserve"> </w:t>
      </w:r>
    </w:p>
  </w:footnote>
  <w:footnote w:id="3">
    <w:p w14:paraId="0A859C26" w14:textId="276739D2" w:rsidR="00966FD3" w:rsidRPr="00EB57A4" w:rsidRDefault="00966FD3" w:rsidP="00966FD3">
      <w:pPr>
        <w:pStyle w:val="Tekstfusnote"/>
        <w:rPr>
          <w:sz w:val="16"/>
          <w:szCs w:val="16"/>
        </w:rPr>
      </w:pPr>
      <w:r w:rsidRPr="00DC0D17">
        <w:rPr>
          <w:rStyle w:val="Referencafusnote"/>
          <w:sz w:val="16"/>
          <w:szCs w:val="16"/>
        </w:rPr>
        <w:footnoteRef/>
      </w:r>
      <w:r w:rsidRPr="00DC0D17">
        <w:rPr>
          <w:sz w:val="16"/>
          <w:szCs w:val="16"/>
        </w:rPr>
        <w:t xml:space="preserve"> Program ulaganja </w:t>
      </w:r>
      <w:r w:rsidR="002C6866" w:rsidRPr="002C6866">
        <w:rPr>
          <w:sz w:val="16"/>
          <w:szCs w:val="16"/>
        </w:rPr>
        <w:t>u alternativne investicijske fondove (AIF-ove)</w:t>
      </w:r>
      <w:r w:rsidR="00F74FA9">
        <w:rPr>
          <w:sz w:val="16"/>
          <w:szCs w:val="16"/>
        </w:rPr>
        <w:t>, dostupan</w:t>
      </w:r>
      <w:r w:rsidR="00F74FA9" w:rsidRPr="00BC3525">
        <w:rPr>
          <w:sz w:val="16"/>
          <w:szCs w:val="16"/>
        </w:rPr>
        <w:t xml:space="preserve"> je </w:t>
      </w:r>
      <w:r w:rsidR="002C6866" w:rsidRPr="00952E88">
        <w:rPr>
          <w:sz w:val="16"/>
          <w:szCs w:val="16"/>
          <w:highlight w:val="yellow"/>
        </w:rPr>
        <w:t>(LINK)</w:t>
      </w:r>
      <w:r w:rsidR="00BC3525" w:rsidRPr="00952E88">
        <w:rPr>
          <w:sz w:val="16"/>
          <w:szCs w:val="16"/>
          <w:highlight w:val="yellow"/>
        </w:rPr>
        <w:t>.</w:t>
      </w:r>
    </w:p>
  </w:footnote>
  <w:footnote w:id="4">
    <w:p w14:paraId="46E82A03" w14:textId="77777777" w:rsidR="00AD577A" w:rsidRPr="00C05218" w:rsidRDefault="00AD577A" w:rsidP="00AD577A">
      <w:pPr>
        <w:pStyle w:val="Tekstfusnote"/>
        <w:rPr>
          <w:sz w:val="16"/>
          <w:szCs w:val="16"/>
        </w:rPr>
      </w:pPr>
      <w:r w:rsidRPr="00C05218">
        <w:rPr>
          <w:rStyle w:val="Referencafusnote"/>
          <w:rFonts w:eastAsiaTheme="majorEastAsia"/>
          <w:sz w:val="16"/>
          <w:szCs w:val="16"/>
        </w:rPr>
        <w:footnoteRef/>
      </w:r>
      <w:r w:rsidRPr="00C05218">
        <w:rPr>
          <w:sz w:val="16"/>
          <w:szCs w:val="16"/>
        </w:rPr>
        <w:t xml:space="preserve"> UREDBA (EU) 2021/523 EUROPSKOG PARLAMENTA I VIJEĆA od 24. ožujka 2021. o uspostavi programa InvestEU i izmjeni Uredbe (EU) 2015/1017 (SL L 107, 26.3.2021) </w:t>
      </w:r>
      <w:hyperlink r:id="rId2" w:history="1">
        <w:r w:rsidRPr="00C05218">
          <w:rPr>
            <w:rStyle w:val="Hiperveza"/>
            <w:sz w:val="16"/>
            <w:szCs w:val="16"/>
          </w:rPr>
          <w:t>https://eur-lex.europa.eu/legal-content/HR/ALL/?uri=CELEX%3A32021R0523</w:t>
        </w:r>
      </w:hyperlink>
      <w:r w:rsidRPr="00C05218">
        <w:rPr>
          <w:sz w:val="16"/>
          <w:szCs w:val="16"/>
        </w:rPr>
        <w:t xml:space="preserve"> </w:t>
      </w:r>
    </w:p>
  </w:footnote>
  <w:footnote w:id="5">
    <w:p w14:paraId="53A08EB4" w14:textId="77777777" w:rsidR="00AD577A" w:rsidRDefault="00AD577A" w:rsidP="00AD577A">
      <w:pPr>
        <w:pStyle w:val="Tekstfusnote"/>
        <w:rPr>
          <w:sz w:val="16"/>
          <w:szCs w:val="16"/>
        </w:rPr>
      </w:pPr>
      <w:r w:rsidRPr="00C05218">
        <w:rPr>
          <w:rStyle w:val="Referencafusnote"/>
          <w:rFonts w:eastAsiaTheme="majorEastAsia"/>
          <w:sz w:val="16"/>
          <w:szCs w:val="16"/>
        </w:rPr>
        <w:footnoteRef/>
      </w:r>
      <w:r w:rsidRPr="00C05218">
        <w:rPr>
          <w:sz w:val="16"/>
          <w:szCs w:val="16"/>
        </w:rPr>
        <w:t xml:space="preserve"> UREDBA (EU) 2020/852 EUROPSKOG PARLAMENTA I VIJEĆA od 18. lipnja 2020. o uspostavi okvira za olakšavanje održivih ulaganja i izmjeni Uredbe (EU) 2019/2088 </w:t>
      </w:r>
      <w:hyperlink r:id="rId3" w:history="1">
        <w:r w:rsidRPr="00C05218">
          <w:rPr>
            <w:rStyle w:val="Hiperveza"/>
            <w:sz w:val="16"/>
            <w:szCs w:val="16"/>
          </w:rPr>
          <w:t>https://eur-lex.europa.eu/legal-content/HR/TXT/PDF/?uri=CELEX:32020R0852&amp;from=EN</w:t>
        </w:r>
      </w:hyperlink>
      <w:r w:rsidRPr="00C05218">
        <w:rPr>
          <w:sz w:val="16"/>
          <w:szCs w:val="16"/>
        </w:rPr>
        <w:t xml:space="preserve"> </w:t>
      </w:r>
    </w:p>
    <w:p w14:paraId="02B2081E" w14:textId="77777777" w:rsidR="007210DF" w:rsidRDefault="007210DF" w:rsidP="00AD577A">
      <w:pPr>
        <w:pStyle w:val="Tekstfusnote"/>
        <w:rPr>
          <w:sz w:val="16"/>
          <w:szCs w:val="16"/>
        </w:rPr>
      </w:pPr>
    </w:p>
    <w:p w14:paraId="052B9E64" w14:textId="77777777" w:rsidR="007210DF" w:rsidRPr="00C05218" w:rsidRDefault="007210DF" w:rsidP="00AD577A">
      <w:pPr>
        <w:pStyle w:val="Tekstfusnote"/>
        <w:rPr>
          <w:sz w:val="16"/>
          <w:szCs w:val="16"/>
        </w:rPr>
      </w:pPr>
    </w:p>
  </w:footnote>
  <w:footnote w:id="6">
    <w:p w14:paraId="518F7285" w14:textId="77777777" w:rsidR="00AD577A" w:rsidRPr="00C05218" w:rsidRDefault="00AD577A" w:rsidP="00AD577A">
      <w:pPr>
        <w:pStyle w:val="Tekstfusnote"/>
        <w:rPr>
          <w:sz w:val="16"/>
          <w:szCs w:val="16"/>
        </w:rPr>
      </w:pPr>
      <w:r w:rsidRPr="00C05218">
        <w:rPr>
          <w:rStyle w:val="Referencafusnote"/>
          <w:rFonts w:eastAsiaTheme="majorEastAsia"/>
          <w:sz w:val="16"/>
          <w:szCs w:val="16"/>
        </w:rPr>
        <w:footnoteRef/>
      </w:r>
      <w:r w:rsidRPr="00C05218">
        <w:rPr>
          <w:sz w:val="16"/>
          <w:szCs w:val="16"/>
        </w:rPr>
        <w:t xml:space="preserve"> Posebna područja RH: </w:t>
      </w:r>
    </w:p>
    <w:p w14:paraId="07293E13" w14:textId="77777777" w:rsidR="00AD577A" w:rsidRPr="00C05218" w:rsidRDefault="00AD577A" w:rsidP="00AD577A">
      <w:pPr>
        <w:pStyle w:val="Tekstfusnote"/>
        <w:numPr>
          <w:ilvl w:val="0"/>
          <w:numId w:val="43"/>
        </w:numPr>
        <w:spacing w:line="240" w:lineRule="auto"/>
        <w:rPr>
          <w:sz w:val="16"/>
          <w:szCs w:val="16"/>
        </w:rPr>
      </w:pPr>
      <w:r w:rsidRPr="00C05218">
        <w:rPr>
          <w:sz w:val="16"/>
          <w:szCs w:val="16"/>
        </w:rPr>
        <w:t xml:space="preserve">Potpomognuta područja - Jedinice lokalne samouprave razvrstane u I., II., III. i IV. skupinu sukladno Zakonu o regionalnom razvoju Republike Hrvatske (NN 147/2014, 123/2017, 118/2018) i Odluci o razvrstavanju jedinica lokalne i područne (regionalne) samouprave prema stupnju razvijenosti (NN 3/2024) i svim njihovim izmjenama i dopunama. </w:t>
      </w:r>
    </w:p>
    <w:p w14:paraId="543F05A4" w14:textId="77777777" w:rsidR="00AD577A" w:rsidRPr="00C05218" w:rsidRDefault="00AD577A" w:rsidP="00AD577A">
      <w:pPr>
        <w:pStyle w:val="Tekstfusnote"/>
        <w:numPr>
          <w:ilvl w:val="0"/>
          <w:numId w:val="43"/>
        </w:numPr>
        <w:spacing w:line="240" w:lineRule="auto"/>
        <w:rPr>
          <w:sz w:val="16"/>
          <w:szCs w:val="16"/>
        </w:rPr>
      </w:pPr>
      <w:r w:rsidRPr="00C05218">
        <w:rPr>
          <w:sz w:val="16"/>
          <w:szCs w:val="16"/>
        </w:rPr>
        <w:t xml:space="preserve">Brdsko-planinska područja- Područja sukladno Zakonu o brdsko-planinskim područjima (NN 118/2018) i Odluci o obuhvatu i razvrstavanju jedinica lokalne samouprave koje stječu status brdsko-planinskog područja (NN 24/2019) i svim njihovim izmjenama i dopunama. </w:t>
      </w:r>
    </w:p>
    <w:p w14:paraId="10C83AE6" w14:textId="77777777" w:rsidR="00AD577A" w:rsidRPr="00C05218" w:rsidRDefault="00AD577A" w:rsidP="00AD577A">
      <w:pPr>
        <w:pStyle w:val="Tekstfusnote"/>
        <w:numPr>
          <w:ilvl w:val="0"/>
          <w:numId w:val="43"/>
        </w:numPr>
        <w:spacing w:line="240" w:lineRule="auto"/>
        <w:rPr>
          <w:sz w:val="16"/>
          <w:szCs w:val="16"/>
        </w:rPr>
      </w:pPr>
      <w:r w:rsidRPr="00C05218">
        <w:rPr>
          <w:sz w:val="16"/>
          <w:szCs w:val="16"/>
        </w:rPr>
        <w:t>Otoci - Sukladno Zakonu o otocima (NN 116/2018, 73/2020, 70/2021) i svim njegovim izmjenama i dopunama.</w:t>
      </w:r>
    </w:p>
  </w:footnote>
  <w:footnote w:id="7">
    <w:p w14:paraId="6C88469E" w14:textId="77777777" w:rsidR="00AD577A" w:rsidRPr="005C0412" w:rsidRDefault="00AD577A" w:rsidP="00AD577A">
      <w:pPr>
        <w:pStyle w:val="Tekstfusnote"/>
        <w:rPr>
          <w:sz w:val="16"/>
          <w:szCs w:val="16"/>
        </w:rPr>
      </w:pPr>
      <w:r w:rsidRPr="00C05218">
        <w:rPr>
          <w:rStyle w:val="Referencafusnote"/>
          <w:rFonts w:eastAsiaTheme="majorEastAsia"/>
          <w:sz w:val="16"/>
          <w:szCs w:val="16"/>
        </w:rPr>
        <w:footnoteRef/>
      </w:r>
      <w:r w:rsidRPr="00C05218">
        <w:rPr>
          <w:sz w:val="16"/>
          <w:szCs w:val="16"/>
        </w:rPr>
        <w:t xml:space="preserve"> DIREKTIVA 2011/61/EU EUROPSKOG PARLAMENTA I VIJEĆA od 8. lipnja 2011. o upraviteljima alternativnih investicijskih fondova i o izmjeni direktiva 2003/41/EZ i 2009/65/EZ te uredbi (EZ) br. 1060/2009 i (EU) br. 1095/2010</w:t>
      </w:r>
      <w:r w:rsidRPr="005C0412">
        <w:rPr>
          <w:sz w:val="16"/>
          <w:szCs w:val="16"/>
        </w:rPr>
        <w:t> </w:t>
      </w:r>
    </w:p>
  </w:footnote>
  <w:footnote w:id="8">
    <w:p w14:paraId="430A1D06" w14:textId="77777777" w:rsidR="00AD577A" w:rsidRPr="00C22D62" w:rsidRDefault="00AD577A" w:rsidP="00AD577A">
      <w:pPr>
        <w:pStyle w:val="Tekstfusnote"/>
        <w:rPr>
          <w:sz w:val="16"/>
          <w:szCs w:val="16"/>
        </w:rPr>
      </w:pPr>
      <w:r w:rsidRPr="00C22D62">
        <w:rPr>
          <w:rStyle w:val="Referencafusnote"/>
          <w:rFonts w:eastAsiaTheme="majorEastAsia"/>
          <w:sz w:val="16"/>
          <w:szCs w:val="16"/>
        </w:rPr>
        <w:footnoteRef/>
      </w:r>
      <w:r w:rsidRPr="00C22D62">
        <w:rPr>
          <w:sz w:val="16"/>
          <w:szCs w:val="16"/>
        </w:rPr>
        <w:t xml:space="preserve"> Sukladno Preporuci Europske komisije 2003/361/EC od 6. svibnja 2003. o definiciji mikro, malih i srednjih poduzetnika (SL L 124, 20.5.2003.):</w:t>
      </w:r>
    </w:p>
    <w:p w14:paraId="7608524F" w14:textId="77777777" w:rsidR="00AD577A" w:rsidRPr="00C22D62" w:rsidRDefault="00AD577A" w:rsidP="00AD577A">
      <w:pPr>
        <w:pStyle w:val="Tekstfusnote"/>
        <w:numPr>
          <w:ilvl w:val="0"/>
          <w:numId w:val="45"/>
        </w:numPr>
        <w:spacing w:line="240" w:lineRule="auto"/>
        <w:rPr>
          <w:sz w:val="16"/>
          <w:szCs w:val="16"/>
        </w:rPr>
      </w:pPr>
      <w:r w:rsidRPr="00C22D62">
        <w:rPr>
          <w:sz w:val="16"/>
          <w:szCs w:val="16"/>
        </w:rPr>
        <w:t>srednje poduzeće ima do 250 zaposlenih, promet do 50 mil. EUR ili ukupnu bilancu do 43 mil. EUR;</w:t>
      </w:r>
    </w:p>
    <w:p w14:paraId="384A8674" w14:textId="77777777" w:rsidR="00AD577A" w:rsidRPr="00C22D62" w:rsidRDefault="00AD577A" w:rsidP="00AD577A">
      <w:pPr>
        <w:pStyle w:val="Tekstfusnote"/>
        <w:numPr>
          <w:ilvl w:val="0"/>
          <w:numId w:val="45"/>
        </w:numPr>
        <w:spacing w:line="240" w:lineRule="auto"/>
        <w:rPr>
          <w:sz w:val="16"/>
          <w:szCs w:val="16"/>
        </w:rPr>
      </w:pPr>
      <w:r w:rsidRPr="00C22D62">
        <w:rPr>
          <w:sz w:val="16"/>
          <w:szCs w:val="16"/>
        </w:rPr>
        <w:t>malo poduzeće ima do 50 zaposlenih i promet ili ukupnu bilancu do 10 mil. EUR;</w:t>
      </w:r>
    </w:p>
    <w:p w14:paraId="1E14DD65" w14:textId="77777777" w:rsidR="00AD577A" w:rsidRPr="00C22D62" w:rsidRDefault="00AD577A" w:rsidP="00AD577A">
      <w:pPr>
        <w:pStyle w:val="Tekstfusnote"/>
        <w:numPr>
          <w:ilvl w:val="0"/>
          <w:numId w:val="45"/>
        </w:numPr>
        <w:spacing w:line="240" w:lineRule="auto"/>
        <w:rPr>
          <w:sz w:val="16"/>
          <w:szCs w:val="16"/>
        </w:rPr>
      </w:pPr>
      <w:r w:rsidRPr="00C22D62">
        <w:rPr>
          <w:sz w:val="16"/>
          <w:szCs w:val="16"/>
        </w:rPr>
        <w:t>mikro poduzeće ima do 10 zaposlenih i promet ili ukupnu bilancu do 2 mil. EUR.</w:t>
      </w:r>
    </w:p>
  </w:footnote>
  <w:footnote w:id="9">
    <w:p w14:paraId="217E2996" w14:textId="77777777" w:rsidR="00AD577A" w:rsidRPr="00C22D62" w:rsidRDefault="00AD577A" w:rsidP="00AD577A">
      <w:pPr>
        <w:pStyle w:val="Tekstfusnote"/>
        <w:rPr>
          <w:sz w:val="16"/>
          <w:szCs w:val="16"/>
        </w:rPr>
      </w:pPr>
      <w:r w:rsidRPr="00C22D62">
        <w:rPr>
          <w:rStyle w:val="Referencafusnote"/>
          <w:rFonts w:eastAsiaTheme="majorEastAsia"/>
          <w:sz w:val="16"/>
          <w:szCs w:val="16"/>
        </w:rPr>
        <w:footnoteRef/>
      </w:r>
      <w:r w:rsidRPr="00C22D62">
        <w:rPr>
          <w:sz w:val="16"/>
          <w:szCs w:val="16"/>
        </w:rPr>
        <w:t xml:space="preserve"> Uredba (EU) 2015/1017 Europskog parlamenta i Vijeća od 25. lipnja 2015. o Europskom fondu za strateška ulaganja, Europskom savjetodavnom centru za ulaganja i Europskom portalu projekata ulaganja i o izmjeni uredaba (EU) br. 1291/2013 i (EU) br. 1316/2013 (SL L 169, 1.7.2015.): </w:t>
      </w:r>
    </w:p>
    <w:p w14:paraId="000E1452" w14:textId="77777777" w:rsidR="00AD577A" w:rsidRPr="00C22D62" w:rsidRDefault="00AD577A" w:rsidP="00AD577A">
      <w:pPr>
        <w:pStyle w:val="Tekstfusnote"/>
        <w:numPr>
          <w:ilvl w:val="0"/>
          <w:numId w:val="45"/>
        </w:numPr>
        <w:spacing w:line="240" w:lineRule="auto"/>
        <w:rPr>
          <w:sz w:val="16"/>
          <w:szCs w:val="16"/>
        </w:rPr>
      </w:pPr>
      <w:r w:rsidRPr="00C22D62">
        <w:rPr>
          <w:sz w:val="16"/>
          <w:szCs w:val="16"/>
        </w:rPr>
        <w:t>„malo poduzeće srednje tržišne kapitalizacije” znači subjekt koji ima do 499 zaposlenika i koji nije MSP;</w:t>
      </w:r>
    </w:p>
    <w:p w14:paraId="372E4370" w14:textId="77777777" w:rsidR="00AD577A" w:rsidRPr="00C22D62" w:rsidRDefault="00AD577A" w:rsidP="00AD577A">
      <w:pPr>
        <w:pStyle w:val="Tekstfusnote"/>
        <w:numPr>
          <w:ilvl w:val="0"/>
          <w:numId w:val="45"/>
        </w:numPr>
        <w:spacing w:line="240" w:lineRule="auto"/>
        <w:rPr>
          <w:sz w:val="16"/>
          <w:szCs w:val="16"/>
        </w:rPr>
      </w:pPr>
      <w:r w:rsidRPr="00C22D62">
        <w:rPr>
          <w:sz w:val="16"/>
          <w:szCs w:val="16"/>
        </w:rPr>
        <w:t>„poduzeće srednje tržišne kapitalizacije” znači subjekt koji ima do 3.000 zaposlenika i koji nije MSP niti malo poduzeće srednje tržišne kapitalizacije.</w:t>
      </w:r>
    </w:p>
  </w:footnote>
  <w:footnote w:id="10">
    <w:p w14:paraId="04DDFBA1" w14:textId="77777777" w:rsidR="00AD577A" w:rsidRPr="00C22D62" w:rsidRDefault="00AD577A" w:rsidP="00AD577A">
      <w:pPr>
        <w:pStyle w:val="Tekstfusnote"/>
        <w:rPr>
          <w:sz w:val="16"/>
          <w:szCs w:val="16"/>
        </w:rPr>
      </w:pPr>
      <w:r w:rsidRPr="00C22D62">
        <w:rPr>
          <w:rStyle w:val="Referencafusnote"/>
          <w:rFonts w:eastAsiaTheme="majorEastAsia"/>
          <w:sz w:val="16"/>
          <w:szCs w:val="16"/>
        </w:rPr>
        <w:footnoteRef/>
      </w:r>
      <w:r w:rsidRPr="00C22D62">
        <w:rPr>
          <w:sz w:val="16"/>
          <w:szCs w:val="16"/>
        </w:rPr>
        <w:t xml:space="preserve"> </w:t>
      </w:r>
      <w:r w:rsidRPr="00C22D62">
        <w:rPr>
          <w:sz w:val="16"/>
          <w:szCs w:val="16"/>
          <w:lang w:val="en-US"/>
        </w:rPr>
        <w:t>Invest Europe, Research methodology and definitions</w:t>
      </w:r>
      <w:r w:rsidRPr="00C22D62">
        <w:rPr>
          <w:sz w:val="16"/>
          <w:szCs w:val="16"/>
        </w:rPr>
        <w:t xml:space="preserve">, dostupno </w:t>
      </w:r>
      <w:hyperlink r:id="rId4" w:history="1">
        <w:r w:rsidRPr="00C22D62">
          <w:rPr>
            <w:rStyle w:val="Hiperveza"/>
            <w:sz w:val="16"/>
            <w:szCs w:val="16"/>
          </w:rPr>
          <w:t>ovdje</w:t>
        </w:r>
      </w:hyperlink>
      <w:r w:rsidRPr="00C22D62">
        <w:rPr>
          <w:sz w:val="16"/>
          <w:szCs w:val="16"/>
        </w:rPr>
        <w:t xml:space="preserve">. </w:t>
      </w:r>
    </w:p>
  </w:footnote>
  <w:footnote w:id="11">
    <w:p w14:paraId="530B0BBB" w14:textId="77777777" w:rsidR="00AD577A" w:rsidRPr="00C22D62" w:rsidRDefault="00AD577A" w:rsidP="00AD577A">
      <w:pPr>
        <w:pStyle w:val="Tekstfusnote"/>
        <w:rPr>
          <w:sz w:val="16"/>
          <w:szCs w:val="16"/>
        </w:rPr>
      </w:pPr>
      <w:r w:rsidRPr="00C22D62">
        <w:rPr>
          <w:rStyle w:val="Referencafusnote"/>
          <w:rFonts w:eastAsiaTheme="majorEastAsia"/>
          <w:sz w:val="16"/>
          <w:szCs w:val="16"/>
        </w:rPr>
        <w:footnoteRef/>
      </w:r>
      <w:r w:rsidRPr="00C22D62">
        <w:rPr>
          <w:sz w:val="16"/>
          <w:szCs w:val="16"/>
        </w:rPr>
        <w:t xml:space="preserve"> Lista neprihvatljivih aktivnosti objavljena je u Općim kriterijima prihvatljivosti za instrumente vlasničkog i kvazi-vlasničkog financiranja, dostupno </w:t>
      </w:r>
      <w:hyperlink r:id="rId5" w:history="1">
        <w:r w:rsidRPr="00C22D62">
          <w:rPr>
            <w:rStyle w:val="Hiperveza"/>
            <w:sz w:val="16"/>
            <w:szCs w:val="16"/>
          </w:rPr>
          <w:t>ovdje</w:t>
        </w:r>
      </w:hyperlink>
      <w:r w:rsidRPr="00C22D62">
        <w:rPr>
          <w:sz w:val="16"/>
          <w:szCs w:val="16"/>
        </w:rPr>
        <w:t>.</w:t>
      </w:r>
    </w:p>
  </w:footnote>
  <w:footnote w:id="12">
    <w:p w14:paraId="69CDE045" w14:textId="77777777" w:rsidR="00AD577A" w:rsidRPr="00284E31" w:rsidRDefault="00AD577A" w:rsidP="00AD577A">
      <w:pPr>
        <w:pStyle w:val="Tekstfusnote"/>
        <w:rPr>
          <w:sz w:val="16"/>
          <w:szCs w:val="16"/>
        </w:rPr>
      </w:pPr>
      <w:r w:rsidRPr="00C22D62">
        <w:rPr>
          <w:rStyle w:val="Referencafusnote"/>
          <w:rFonts w:eastAsiaTheme="majorEastAsia"/>
          <w:sz w:val="16"/>
          <w:szCs w:val="16"/>
        </w:rPr>
        <w:footnoteRef/>
      </w:r>
      <w:r w:rsidRPr="00C22D62">
        <w:rPr>
          <w:sz w:val="16"/>
          <w:szCs w:val="16"/>
        </w:rPr>
        <w:t xml:space="preserve"> Uredba Komisije (EU) br. 651/2014 od 17.06.2014. godine o ocjenjivanju određenih kategorija potpora spojivima s unutarnjim tržištem u primjeni članaka 107. i 108. Ugovora (SL L 187 od 26.06.2014.), odnosno sukladno odredbama propisa koji uređuje ovo pitanje, a koji će biti na snazi u trenutku odobrenja ugovaranja HBOR-ove obveze na uplatu.</w:t>
      </w:r>
    </w:p>
  </w:footnote>
  <w:footnote w:id="13">
    <w:p w14:paraId="06A7D19E" w14:textId="6A8CCB00" w:rsidR="00C47DD9" w:rsidRPr="00F94ACC" w:rsidRDefault="00C47DD9" w:rsidP="00B839E8">
      <w:pPr>
        <w:pStyle w:val="Tekstfusnote"/>
        <w:jc w:val="left"/>
        <w:rPr>
          <w:sz w:val="16"/>
          <w:szCs w:val="16"/>
        </w:rPr>
      </w:pPr>
      <w:r w:rsidRPr="009066C0">
        <w:rPr>
          <w:rStyle w:val="Referencafusnote"/>
          <w:sz w:val="16"/>
          <w:szCs w:val="16"/>
        </w:rPr>
        <w:footnoteRef/>
      </w:r>
      <w:r w:rsidRPr="009066C0">
        <w:rPr>
          <w:sz w:val="16"/>
          <w:szCs w:val="16"/>
        </w:rPr>
        <w:t xml:space="preserve"> </w:t>
      </w:r>
      <w:r w:rsidR="00F94ACC" w:rsidRPr="009066C0">
        <w:rPr>
          <w:sz w:val="16"/>
          <w:szCs w:val="16"/>
        </w:rPr>
        <w:t>Politika ulaganja u vlasnički kapital i kvazi-vlasnički kapital,</w:t>
      </w:r>
      <w:r w:rsidR="006E40A2">
        <w:rPr>
          <w:sz w:val="16"/>
          <w:szCs w:val="16"/>
        </w:rPr>
        <w:t xml:space="preserve"> dostupno </w:t>
      </w:r>
      <w:hyperlink r:id="rId6" w:history="1">
        <w:r w:rsidR="006E40A2">
          <w:rPr>
            <w:rStyle w:val="Hiperveza"/>
            <w:sz w:val="16"/>
            <w:szCs w:val="16"/>
          </w:rPr>
          <w:t>ovdje</w:t>
        </w:r>
      </w:hyperlink>
      <w:r w:rsidR="006E40A2">
        <w:rPr>
          <w:sz w:val="16"/>
          <w:szCs w:val="16"/>
        </w:rPr>
        <w:t>.</w:t>
      </w:r>
      <w:r w:rsidRPr="00F94AC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4238" w14:textId="7398ABAC" w:rsidR="008A020C" w:rsidRDefault="008E52CF">
    <w:pPr>
      <w:pStyle w:val="Zaglavlje"/>
    </w:pPr>
    <w:r>
      <w:rPr>
        <w:rStyle w:val="wacimagecontainer"/>
        <w:rFonts w:ascii="Segoe UI" w:hAnsi="Segoe UI" w:cs="Segoe UI"/>
        <w:noProof/>
        <w:color w:val="000000"/>
        <w:sz w:val="18"/>
        <w:szCs w:val="18"/>
        <w:shd w:val="clear" w:color="auto" w:fill="FFFFFF"/>
      </w:rPr>
      <w:drawing>
        <wp:inline distT="0" distB="0" distL="0" distR="0" wp14:anchorId="42FEDF51" wp14:editId="46CA0DC0">
          <wp:extent cx="1526876" cy="478573"/>
          <wp:effectExtent l="0" t="0" r="0" b="0"/>
          <wp:docPr id="13324733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562" cy="483176"/>
                  </a:xfrm>
                  <a:prstGeom prst="rect">
                    <a:avLst/>
                  </a:prstGeom>
                  <a:noFill/>
                  <a:ln>
                    <a:noFill/>
                  </a:ln>
                </pic:spPr>
              </pic:pic>
            </a:graphicData>
          </a:graphic>
        </wp:inline>
      </w:drawing>
    </w:r>
  </w:p>
  <w:p w14:paraId="1B7FD458" w14:textId="77777777" w:rsidR="008E52CF" w:rsidRDefault="008E52CF">
    <w:pPr>
      <w:pStyle w:val="Zaglavlje"/>
    </w:pPr>
  </w:p>
  <w:p w14:paraId="6F43C4A2" w14:textId="77777777" w:rsidR="008E52CF" w:rsidRDefault="008E52C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A297" w14:textId="77777777" w:rsidR="00CE74B1" w:rsidRDefault="00CE74B1" w:rsidP="00EB57A4">
    <w:pPr>
      <w:pStyle w:val="Zaglavlje"/>
    </w:pPr>
    <w:r>
      <w:rPr>
        <w:rStyle w:val="wacimagecontainer"/>
        <w:rFonts w:ascii="Segoe UI" w:hAnsi="Segoe UI" w:cs="Segoe UI"/>
        <w:noProof/>
        <w:color w:val="000000"/>
        <w:sz w:val="18"/>
        <w:szCs w:val="18"/>
        <w:shd w:val="clear" w:color="auto" w:fill="FFFFFF"/>
      </w:rPr>
      <w:drawing>
        <wp:inline distT="0" distB="0" distL="0" distR="0" wp14:anchorId="17E126F6" wp14:editId="33A0721A">
          <wp:extent cx="1526876" cy="478573"/>
          <wp:effectExtent l="0" t="0" r="0" b="0"/>
          <wp:docPr id="315134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562" cy="483176"/>
                  </a:xfrm>
                  <a:prstGeom prst="rect">
                    <a:avLst/>
                  </a:prstGeom>
                  <a:noFill/>
                  <a:ln>
                    <a:noFill/>
                  </a:ln>
                </pic:spPr>
              </pic:pic>
            </a:graphicData>
          </a:graphic>
        </wp:inline>
      </w:drawing>
    </w:r>
  </w:p>
  <w:p w14:paraId="2B2DD933" w14:textId="77777777" w:rsidR="00CE74B1" w:rsidRDefault="00CE74B1" w:rsidP="00EB57A4">
    <w:pPr>
      <w:pStyle w:val="Zaglavlje"/>
    </w:pPr>
  </w:p>
  <w:p w14:paraId="5599544B" w14:textId="34513A14" w:rsidR="006372FA" w:rsidRPr="002606D7" w:rsidRDefault="00E81C32" w:rsidP="00EB57A4">
    <w:pPr>
      <w:pStyle w:val="Zaglavlje"/>
    </w:pPr>
    <w:r w:rsidRPr="002606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DE0"/>
    <w:multiLevelType w:val="hybridMultilevel"/>
    <w:tmpl w:val="A76411EC"/>
    <w:lvl w:ilvl="0" w:tplc="780E10F8">
      <w:start w:val="1"/>
      <w:numFmt w:val="decimal"/>
      <w:pStyle w:val="Stavci"/>
      <w:lvlText w:val="(%1)"/>
      <w:lvlJc w:val="left"/>
      <w:pPr>
        <w:ind w:left="502" w:hanging="360"/>
      </w:pPr>
      <w:rPr>
        <w:rFonts w:hint="default"/>
        <w:b w:val="0"/>
      </w:rPr>
    </w:lvl>
    <w:lvl w:ilvl="1" w:tplc="C7E8B4AE">
      <w:start w:val="1"/>
      <w:numFmt w:val="lowerRoman"/>
      <w:lvlText w:val="%2)"/>
      <w:lvlJc w:val="left"/>
      <w:pPr>
        <w:ind w:left="1080" w:hanging="360"/>
      </w:pPr>
      <w:rPr>
        <w:rFonts w:hint="default"/>
        <w:b w:val="0"/>
        <w:color w:val="000000"/>
      </w:rPr>
    </w:lvl>
    <w:lvl w:ilvl="2" w:tplc="0409001B">
      <w:start w:val="1"/>
      <w:numFmt w:val="lowerRoman"/>
      <w:lvlText w:val="%3."/>
      <w:lvlJc w:val="right"/>
      <w:pPr>
        <w:ind w:left="1800" w:hanging="180"/>
      </w:pPr>
    </w:lvl>
    <w:lvl w:ilvl="3" w:tplc="07D25D7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CE01C5"/>
    <w:multiLevelType w:val="multilevel"/>
    <w:tmpl w:val="98E648B4"/>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2" w15:restartNumberingAfterBreak="0">
    <w:nsid w:val="121F6FCE"/>
    <w:multiLevelType w:val="multilevel"/>
    <w:tmpl w:val="0360CD7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3DD2F5C"/>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103BB4"/>
    <w:multiLevelType w:val="multilevel"/>
    <w:tmpl w:val="69C8B7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6EF0224"/>
    <w:multiLevelType w:val="hybridMultilevel"/>
    <w:tmpl w:val="8C24C48A"/>
    <w:lvl w:ilvl="0" w:tplc="041A0017">
      <w:start w:val="1"/>
      <w:numFmt w:val="lowerLetter"/>
      <w:lvlText w:val="%1)"/>
      <w:lvlJc w:val="left"/>
      <w:pPr>
        <w:ind w:left="720" w:hanging="360"/>
      </w:pPr>
    </w:lvl>
    <w:lvl w:ilvl="1" w:tplc="041A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994A0F"/>
    <w:multiLevelType w:val="multilevel"/>
    <w:tmpl w:val="D7A446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96A46"/>
    <w:multiLevelType w:val="multilevel"/>
    <w:tmpl w:val="87EE2F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0C56218"/>
    <w:multiLevelType w:val="multilevel"/>
    <w:tmpl w:val="0AD87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D21BEF"/>
    <w:multiLevelType w:val="hybridMultilevel"/>
    <w:tmpl w:val="92EC16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EC53C7"/>
    <w:multiLevelType w:val="multilevel"/>
    <w:tmpl w:val="A36841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505A12"/>
    <w:multiLevelType w:val="multilevel"/>
    <w:tmpl w:val="518E2AC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75A6839"/>
    <w:multiLevelType w:val="multilevel"/>
    <w:tmpl w:val="3F4A55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B604C72"/>
    <w:multiLevelType w:val="multilevel"/>
    <w:tmpl w:val="D40EDD4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0417653"/>
    <w:multiLevelType w:val="hybridMultilevel"/>
    <w:tmpl w:val="48541EE0"/>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2A20EE"/>
    <w:multiLevelType w:val="multilevel"/>
    <w:tmpl w:val="E2E2B8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516FBD"/>
    <w:multiLevelType w:val="multilevel"/>
    <w:tmpl w:val="C5222F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3C4368C"/>
    <w:multiLevelType w:val="multilevel"/>
    <w:tmpl w:val="D47C1E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4919C9"/>
    <w:multiLevelType w:val="hybridMultilevel"/>
    <w:tmpl w:val="276472E4"/>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A767BB5"/>
    <w:multiLevelType w:val="multilevel"/>
    <w:tmpl w:val="51FEEC8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AF63F2D"/>
    <w:multiLevelType w:val="multilevel"/>
    <w:tmpl w:val="A87E92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C693CFC"/>
    <w:multiLevelType w:val="multilevel"/>
    <w:tmpl w:val="8C3C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1E3912"/>
    <w:multiLevelType w:val="multilevel"/>
    <w:tmpl w:val="DE1EA0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3E8B219F"/>
    <w:multiLevelType w:val="hybridMultilevel"/>
    <w:tmpl w:val="125820EC"/>
    <w:lvl w:ilvl="0" w:tplc="9DC891B8">
      <w:start w:val="1"/>
      <w:numFmt w:val="lowerRoman"/>
      <w:lvlText w:val="(%1)"/>
      <w:lvlJc w:val="left"/>
      <w:pPr>
        <w:ind w:left="360" w:hanging="360"/>
      </w:pPr>
      <w:rPr>
        <w:rFonts w:ascii="Arial" w:eastAsia="Times New Roman" w:hAnsi="Arial" w:cs="Arial"/>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3FF27462"/>
    <w:multiLevelType w:val="multilevel"/>
    <w:tmpl w:val="51BC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110874"/>
    <w:multiLevelType w:val="multilevel"/>
    <w:tmpl w:val="033E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DB4A77"/>
    <w:multiLevelType w:val="multilevel"/>
    <w:tmpl w:val="DE1EA0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1AB0D0F"/>
    <w:multiLevelType w:val="multilevel"/>
    <w:tmpl w:val="4BFECAC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1D666E1"/>
    <w:multiLevelType w:val="multilevel"/>
    <w:tmpl w:val="405459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E0688F"/>
    <w:multiLevelType w:val="multilevel"/>
    <w:tmpl w:val="F61C3C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2C5AF9"/>
    <w:multiLevelType w:val="multilevel"/>
    <w:tmpl w:val="7A8821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4D38FD"/>
    <w:multiLevelType w:val="multilevel"/>
    <w:tmpl w:val="DF4E59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7A2EAF"/>
    <w:multiLevelType w:val="hybridMultilevel"/>
    <w:tmpl w:val="3E8AAA52"/>
    <w:lvl w:ilvl="0" w:tplc="874CF816">
      <w:start w:val="1"/>
      <w:numFmt w:val="bullet"/>
      <w:lvlText w:val=""/>
      <w:lvlJc w:val="left"/>
      <w:pPr>
        <w:ind w:left="720" w:hanging="360"/>
      </w:pPr>
      <w:rPr>
        <w:rFonts w:ascii="Symbol" w:hAnsi="Symbol" w:hint="default"/>
        <w:sz w:val="16"/>
        <w:szCs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95747F0"/>
    <w:multiLevelType w:val="multilevel"/>
    <w:tmpl w:val="F2380656"/>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B8A44B2"/>
    <w:multiLevelType w:val="multilevel"/>
    <w:tmpl w:val="3014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614579"/>
    <w:multiLevelType w:val="multilevel"/>
    <w:tmpl w:val="DFA2ED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620FDE"/>
    <w:multiLevelType w:val="multilevel"/>
    <w:tmpl w:val="DC14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BF3625"/>
    <w:multiLevelType w:val="multilevel"/>
    <w:tmpl w:val="F2FC4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F087AB0"/>
    <w:multiLevelType w:val="hybridMultilevel"/>
    <w:tmpl w:val="3BCEA59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62AF2386"/>
    <w:multiLevelType w:val="multilevel"/>
    <w:tmpl w:val="69C8B7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63797785"/>
    <w:multiLevelType w:val="multilevel"/>
    <w:tmpl w:val="F4B2E17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638D699B"/>
    <w:multiLevelType w:val="multilevel"/>
    <w:tmpl w:val="5B82FE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3276DD"/>
    <w:multiLevelType w:val="multilevel"/>
    <w:tmpl w:val="8416AB0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69744EBC"/>
    <w:multiLevelType w:val="multilevel"/>
    <w:tmpl w:val="88AEF1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CF70F8D"/>
    <w:multiLevelType w:val="multilevel"/>
    <w:tmpl w:val="A71C6A5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7909131F"/>
    <w:multiLevelType w:val="multilevel"/>
    <w:tmpl w:val="72D498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447654">
    <w:abstractNumId w:val="3"/>
  </w:num>
  <w:num w:numId="2" w16cid:durableId="86391087">
    <w:abstractNumId w:val="0"/>
  </w:num>
  <w:num w:numId="3" w16cid:durableId="1794011261">
    <w:abstractNumId w:val="23"/>
  </w:num>
  <w:num w:numId="4" w16cid:durableId="512302197">
    <w:abstractNumId w:val="38"/>
  </w:num>
  <w:num w:numId="5" w16cid:durableId="2044011425">
    <w:abstractNumId w:val="5"/>
  </w:num>
  <w:num w:numId="6" w16cid:durableId="1842696938">
    <w:abstractNumId w:val="8"/>
  </w:num>
  <w:num w:numId="7" w16cid:durableId="770080120">
    <w:abstractNumId w:val="15"/>
  </w:num>
  <w:num w:numId="8" w16cid:durableId="1829705748">
    <w:abstractNumId w:val="31"/>
  </w:num>
  <w:num w:numId="9" w16cid:durableId="506755463">
    <w:abstractNumId w:val="6"/>
  </w:num>
  <w:num w:numId="10" w16cid:durableId="1577934117">
    <w:abstractNumId w:val="45"/>
  </w:num>
  <w:num w:numId="11" w16cid:durableId="1905985688">
    <w:abstractNumId w:val="17"/>
  </w:num>
  <w:num w:numId="12" w16cid:durableId="759523416">
    <w:abstractNumId w:val="29"/>
  </w:num>
  <w:num w:numId="13" w16cid:durableId="1592351078">
    <w:abstractNumId w:val="35"/>
  </w:num>
  <w:num w:numId="14" w16cid:durableId="1329019881">
    <w:abstractNumId w:val="28"/>
  </w:num>
  <w:num w:numId="15" w16cid:durableId="1754164654">
    <w:abstractNumId w:val="41"/>
  </w:num>
  <w:num w:numId="16" w16cid:durableId="1739748795">
    <w:abstractNumId w:val="10"/>
  </w:num>
  <w:num w:numId="17" w16cid:durableId="410549305">
    <w:abstractNumId w:val="37"/>
  </w:num>
  <w:num w:numId="18" w16cid:durableId="2094551356">
    <w:abstractNumId w:val="43"/>
  </w:num>
  <w:num w:numId="19" w16cid:durableId="535968784">
    <w:abstractNumId w:val="30"/>
  </w:num>
  <w:num w:numId="20" w16cid:durableId="1024788327">
    <w:abstractNumId w:val="7"/>
  </w:num>
  <w:num w:numId="21" w16cid:durableId="1617519491">
    <w:abstractNumId w:val="27"/>
  </w:num>
  <w:num w:numId="22" w16cid:durableId="950281360">
    <w:abstractNumId w:val="12"/>
  </w:num>
  <w:num w:numId="23" w16cid:durableId="523710068">
    <w:abstractNumId w:val="26"/>
  </w:num>
  <w:num w:numId="24" w16cid:durableId="129442529">
    <w:abstractNumId w:val="24"/>
  </w:num>
  <w:num w:numId="25" w16cid:durableId="877662284">
    <w:abstractNumId w:val="4"/>
  </w:num>
  <w:num w:numId="26" w16cid:durableId="862864601">
    <w:abstractNumId w:val="13"/>
  </w:num>
  <w:num w:numId="27" w16cid:durableId="168254413">
    <w:abstractNumId w:val="16"/>
  </w:num>
  <w:num w:numId="28" w16cid:durableId="717970846">
    <w:abstractNumId w:val="20"/>
  </w:num>
  <w:num w:numId="29" w16cid:durableId="496071046">
    <w:abstractNumId w:val="2"/>
  </w:num>
  <w:num w:numId="30" w16cid:durableId="154300241">
    <w:abstractNumId w:val="19"/>
  </w:num>
  <w:num w:numId="31" w16cid:durableId="78062613">
    <w:abstractNumId w:val="11"/>
  </w:num>
  <w:num w:numId="32" w16cid:durableId="732585606">
    <w:abstractNumId w:val="42"/>
  </w:num>
  <w:num w:numId="33" w16cid:durableId="1064990987">
    <w:abstractNumId w:val="40"/>
  </w:num>
  <w:num w:numId="34" w16cid:durableId="296450198">
    <w:abstractNumId w:val="44"/>
  </w:num>
  <w:num w:numId="35" w16cid:durableId="977688687">
    <w:abstractNumId w:val="33"/>
  </w:num>
  <w:num w:numId="36" w16cid:durableId="469713924">
    <w:abstractNumId w:val="34"/>
  </w:num>
  <w:num w:numId="37" w16cid:durableId="1097680559">
    <w:abstractNumId w:val="21"/>
  </w:num>
  <w:num w:numId="38" w16cid:durableId="1075660889">
    <w:abstractNumId w:val="25"/>
  </w:num>
  <w:num w:numId="39" w16cid:durableId="1466268164">
    <w:abstractNumId w:val="36"/>
  </w:num>
  <w:num w:numId="40" w16cid:durableId="1372807028">
    <w:abstractNumId w:val="14"/>
  </w:num>
  <w:num w:numId="41" w16cid:durableId="2112120082">
    <w:abstractNumId w:val="9"/>
  </w:num>
  <w:num w:numId="42" w16cid:durableId="175967881">
    <w:abstractNumId w:val="39"/>
  </w:num>
  <w:num w:numId="43" w16cid:durableId="2091582577">
    <w:abstractNumId w:val="18"/>
  </w:num>
  <w:num w:numId="44" w16cid:durableId="512186207">
    <w:abstractNumId w:val="1"/>
  </w:num>
  <w:num w:numId="45" w16cid:durableId="1673334802">
    <w:abstractNumId w:val="32"/>
  </w:num>
  <w:num w:numId="46" w16cid:durableId="72891933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FA"/>
    <w:rsid w:val="0000069E"/>
    <w:rsid w:val="000008F4"/>
    <w:rsid w:val="00000C33"/>
    <w:rsid w:val="000014D3"/>
    <w:rsid w:val="000061E2"/>
    <w:rsid w:val="000075AE"/>
    <w:rsid w:val="00007654"/>
    <w:rsid w:val="000112B8"/>
    <w:rsid w:val="0001296A"/>
    <w:rsid w:val="00012B0C"/>
    <w:rsid w:val="00013098"/>
    <w:rsid w:val="000139B7"/>
    <w:rsid w:val="0001569C"/>
    <w:rsid w:val="000168D9"/>
    <w:rsid w:val="00016C7D"/>
    <w:rsid w:val="00017E29"/>
    <w:rsid w:val="00020B13"/>
    <w:rsid w:val="0002452E"/>
    <w:rsid w:val="000251E4"/>
    <w:rsid w:val="000255ED"/>
    <w:rsid w:val="00026C75"/>
    <w:rsid w:val="000300BF"/>
    <w:rsid w:val="000303D4"/>
    <w:rsid w:val="000309F7"/>
    <w:rsid w:val="00031136"/>
    <w:rsid w:val="0003321E"/>
    <w:rsid w:val="00033658"/>
    <w:rsid w:val="00034A47"/>
    <w:rsid w:val="000353EB"/>
    <w:rsid w:val="00036A6C"/>
    <w:rsid w:val="000377B1"/>
    <w:rsid w:val="00037A6A"/>
    <w:rsid w:val="00040AE3"/>
    <w:rsid w:val="00041413"/>
    <w:rsid w:val="0004246F"/>
    <w:rsid w:val="00042D95"/>
    <w:rsid w:val="00043E9B"/>
    <w:rsid w:val="0004667C"/>
    <w:rsid w:val="00047428"/>
    <w:rsid w:val="00050150"/>
    <w:rsid w:val="000505CA"/>
    <w:rsid w:val="00050765"/>
    <w:rsid w:val="00050C6F"/>
    <w:rsid w:val="000515CE"/>
    <w:rsid w:val="00054897"/>
    <w:rsid w:val="00055F09"/>
    <w:rsid w:val="00057644"/>
    <w:rsid w:val="0006079E"/>
    <w:rsid w:val="00060DE4"/>
    <w:rsid w:val="0006184A"/>
    <w:rsid w:val="00061C5B"/>
    <w:rsid w:val="00061FE3"/>
    <w:rsid w:val="00062CD5"/>
    <w:rsid w:val="00063D3C"/>
    <w:rsid w:val="00064ECA"/>
    <w:rsid w:val="000669C4"/>
    <w:rsid w:val="00067BEA"/>
    <w:rsid w:val="00067E9E"/>
    <w:rsid w:val="000702A7"/>
    <w:rsid w:val="000702BB"/>
    <w:rsid w:val="000702CB"/>
    <w:rsid w:val="00072B1B"/>
    <w:rsid w:val="0007311A"/>
    <w:rsid w:val="00074CCE"/>
    <w:rsid w:val="000752DA"/>
    <w:rsid w:val="00075478"/>
    <w:rsid w:val="00075D2D"/>
    <w:rsid w:val="0007638C"/>
    <w:rsid w:val="00076907"/>
    <w:rsid w:val="00077FCF"/>
    <w:rsid w:val="00080F76"/>
    <w:rsid w:val="000823FD"/>
    <w:rsid w:val="00083BDB"/>
    <w:rsid w:val="00084324"/>
    <w:rsid w:val="00084F46"/>
    <w:rsid w:val="00086D58"/>
    <w:rsid w:val="00087167"/>
    <w:rsid w:val="00091229"/>
    <w:rsid w:val="00094486"/>
    <w:rsid w:val="000945C5"/>
    <w:rsid w:val="00095019"/>
    <w:rsid w:val="000960E5"/>
    <w:rsid w:val="00096CA8"/>
    <w:rsid w:val="000971CD"/>
    <w:rsid w:val="000A0B06"/>
    <w:rsid w:val="000A25B1"/>
    <w:rsid w:val="000A3308"/>
    <w:rsid w:val="000A3792"/>
    <w:rsid w:val="000A417E"/>
    <w:rsid w:val="000A4925"/>
    <w:rsid w:val="000A6374"/>
    <w:rsid w:val="000A6F41"/>
    <w:rsid w:val="000A7548"/>
    <w:rsid w:val="000A79D3"/>
    <w:rsid w:val="000B0FF5"/>
    <w:rsid w:val="000B23C4"/>
    <w:rsid w:val="000B3E3B"/>
    <w:rsid w:val="000B46EC"/>
    <w:rsid w:val="000B604F"/>
    <w:rsid w:val="000B69D7"/>
    <w:rsid w:val="000C1456"/>
    <w:rsid w:val="000C177A"/>
    <w:rsid w:val="000C1A46"/>
    <w:rsid w:val="000C2719"/>
    <w:rsid w:val="000C4824"/>
    <w:rsid w:val="000C63C7"/>
    <w:rsid w:val="000C7010"/>
    <w:rsid w:val="000D15C5"/>
    <w:rsid w:val="000D1668"/>
    <w:rsid w:val="000D2386"/>
    <w:rsid w:val="000D263E"/>
    <w:rsid w:val="000D3BF0"/>
    <w:rsid w:val="000D4413"/>
    <w:rsid w:val="000D4430"/>
    <w:rsid w:val="000D4A81"/>
    <w:rsid w:val="000D5A84"/>
    <w:rsid w:val="000E0C3B"/>
    <w:rsid w:val="000E18C8"/>
    <w:rsid w:val="000E2F40"/>
    <w:rsid w:val="000E5C39"/>
    <w:rsid w:val="000F0DC5"/>
    <w:rsid w:val="000F131C"/>
    <w:rsid w:val="000F1AE5"/>
    <w:rsid w:val="000F1CAB"/>
    <w:rsid w:val="000F2EC4"/>
    <w:rsid w:val="000F3542"/>
    <w:rsid w:val="000F3A65"/>
    <w:rsid w:val="000F70B8"/>
    <w:rsid w:val="0010006F"/>
    <w:rsid w:val="001038C0"/>
    <w:rsid w:val="00103A75"/>
    <w:rsid w:val="0010597C"/>
    <w:rsid w:val="0010687D"/>
    <w:rsid w:val="00107142"/>
    <w:rsid w:val="0011021B"/>
    <w:rsid w:val="00111BFE"/>
    <w:rsid w:val="00111CD2"/>
    <w:rsid w:val="00111E41"/>
    <w:rsid w:val="00113361"/>
    <w:rsid w:val="00115021"/>
    <w:rsid w:val="00117303"/>
    <w:rsid w:val="00117436"/>
    <w:rsid w:val="00117499"/>
    <w:rsid w:val="00117C40"/>
    <w:rsid w:val="00122EA1"/>
    <w:rsid w:val="00124828"/>
    <w:rsid w:val="00125DB1"/>
    <w:rsid w:val="001261A3"/>
    <w:rsid w:val="001268EB"/>
    <w:rsid w:val="00127C74"/>
    <w:rsid w:val="00130DCF"/>
    <w:rsid w:val="00132B29"/>
    <w:rsid w:val="00133A18"/>
    <w:rsid w:val="001342E8"/>
    <w:rsid w:val="00134CA8"/>
    <w:rsid w:val="001353C9"/>
    <w:rsid w:val="00136A49"/>
    <w:rsid w:val="0013773C"/>
    <w:rsid w:val="001407B7"/>
    <w:rsid w:val="00140B81"/>
    <w:rsid w:val="00144AA7"/>
    <w:rsid w:val="00144EFD"/>
    <w:rsid w:val="00146820"/>
    <w:rsid w:val="00146BAA"/>
    <w:rsid w:val="0014769D"/>
    <w:rsid w:val="00147950"/>
    <w:rsid w:val="00152691"/>
    <w:rsid w:val="00152C98"/>
    <w:rsid w:val="001551A6"/>
    <w:rsid w:val="00155C02"/>
    <w:rsid w:val="001570C5"/>
    <w:rsid w:val="0016042A"/>
    <w:rsid w:val="00160692"/>
    <w:rsid w:val="0016102F"/>
    <w:rsid w:val="0016187B"/>
    <w:rsid w:val="00162AE0"/>
    <w:rsid w:val="001635C8"/>
    <w:rsid w:val="00164506"/>
    <w:rsid w:val="001646B8"/>
    <w:rsid w:val="0016561B"/>
    <w:rsid w:val="0016660F"/>
    <w:rsid w:val="00166627"/>
    <w:rsid w:val="0016682B"/>
    <w:rsid w:val="00166884"/>
    <w:rsid w:val="001672DE"/>
    <w:rsid w:val="001702FF"/>
    <w:rsid w:val="00175BA2"/>
    <w:rsid w:val="0017685A"/>
    <w:rsid w:val="00177359"/>
    <w:rsid w:val="001778A4"/>
    <w:rsid w:val="001778D6"/>
    <w:rsid w:val="00177CC5"/>
    <w:rsid w:val="00180978"/>
    <w:rsid w:val="0018098C"/>
    <w:rsid w:val="001815CE"/>
    <w:rsid w:val="00181670"/>
    <w:rsid w:val="001821F8"/>
    <w:rsid w:val="00182F75"/>
    <w:rsid w:val="00183371"/>
    <w:rsid w:val="00184A87"/>
    <w:rsid w:val="001857AE"/>
    <w:rsid w:val="00185DB7"/>
    <w:rsid w:val="00186160"/>
    <w:rsid w:val="001868C4"/>
    <w:rsid w:val="00190FE5"/>
    <w:rsid w:val="00191BC4"/>
    <w:rsid w:val="00192AF0"/>
    <w:rsid w:val="001941B2"/>
    <w:rsid w:val="001947DC"/>
    <w:rsid w:val="00194F30"/>
    <w:rsid w:val="001955C2"/>
    <w:rsid w:val="00197381"/>
    <w:rsid w:val="001A0F13"/>
    <w:rsid w:val="001A26A1"/>
    <w:rsid w:val="001A2B08"/>
    <w:rsid w:val="001A4640"/>
    <w:rsid w:val="001A4D63"/>
    <w:rsid w:val="001A5117"/>
    <w:rsid w:val="001A5205"/>
    <w:rsid w:val="001A52A7"/>
    <w:rsid w:val="001A57CC"/>
    <w:rsid w:val="001A5EC0"/>
    <w:rsid w:val="001A7AE4"/>
    <w:rsid w:val="001A7C25"/>
    <w:rsid w:val="001B06D5"/>
    <w:rsid w:val="001B0FE1"/>
    <w:rsid w:val="001B18A0"/>
    <w:rsid w:val="001B4117"/>
    <w:rsid w:val="001B4291"/>
    <w:rsid w:val="001B4407"/>
    <w:rsid w:val="001B5C4F"/>
    <w:rsid w:val="001B6394"/>
    <w:rsid w:val="001B6905"/>
    <w:rsid w:val="001B6959"/>
    <w:rsid w:val="001B7060"/>
    <w:rsid w:val="001C17A6"/>
    <w:rsid w:val="001C3D1B"/>
    <w:rsid w:val="001C5AF2"/>
    <w:rsid w:val="001D0AA5"/>
    <w:rsid w:val="001D1444"/>
    <w:rsid w:val="001D268C"/>
    <w:rsid w:val="001D348A"/>
    <w:rsid w:val="001D3D1A"/>
    <w:rsid w:val="001D3E67"/>
    <w:rsid w:val="001D3E9D"/>
    <w:rsid w:val="001D4367"/>
    <w:rsid w:val="001D4E4E"/>
    <w:rsid w:val="001D77D0"/>
    <w:rsid w:val="001E0795"/>
    <w:rsid w:val="001E4773"/>
    <w:rsid w:val="001E6874"/>
    <w:rsid w:val="001E69DE"/>
    <w:rsid w:val="001E7EE8"/>
    <w:rsid w:val="001F0C57"/>
    <w:rsid w:val="001F0C75"/>
    <w:rsid w:val="001F11E7"/>
    <w:rsid w:val="001F4333"/>
    <w:rsid w:val="001F4840"/>
    <w:rsid w:val="001F5F77"/>
    <w:rsid w:val="001F6312"/>
    <w:rsid w:val="001F6431"/>
    <w:rsid w:val="001F64B0"/>
    <w:rsid w:val="001F7469"/>
    <w:rsid w:val="001F74D7"/>
    <w:rsid w:val="00200C4F"/>
    <w:rsid w:val="0020100C"/>
    <w:rsid w:val="00202BFB"/>
    <w:rsid w:val="0020341E"/>
    <w:rsid w:val="00204E0B"/>
    <w:rsid w:val="00205F8D"/>
    <w:rsid w:val="00207B46"/>
    <w:rsid w:val="00212322"/>
    <w:rsid w:val="00212CDA"/>
    <w:rsid w:val="00212D11"/>
    <w:rsid w:val="0021300B"/>
    <w:rsid w:val="002150FF"/>
    <w:rsid w:val="002175FE"/>
    <w:rsid w:val="00221A00"/>
    <w:rsid w:val="00221E20"/>
    <w:rsid w:val="002226D4"/>
    <w:rsid w:val="002227F6"/>
    <w:rsid w:val="00222D61"/>
    <w:rsid w:val="00225FE4"/>
    <w:rsid w:val="002263AE"/>
    <w:rsid w:val="00226475"/>
    <w:rsid w:val="002264E0"/>
    <w:rsid w:val="002304D6"/>
    <w:rsid w:val="0023070B"/>
    <w:rsid w:val="00231FE7"/>
    <w:rsid w:val="00232FD6"/>
    <w:rsid w:val="002334E9"/>
    <w:rsid w:val="002337B7"/>
    <w:rsid w:val="00233B75"/>
    <w:rsid w:val="00233C29"/>
    <w:rsid w:val="00234E7F"/>
    <w:rsid w:val="00234FCD"/>
    <w:rsid w:val="00235200"/>
    <w:rsid w:val="002358C7"/>
    <w:rsid w:val="002369C8"/>
    <w:rsid w:val="0023748E"/>
    <w:rsid w:val="00237740"/>
    <w:rsid w:val="00237D4F"/>
    <w:rsid w:val="00237D90"/>
    <w:rsid w:val="002422A7"/>
    <w:rsid w:val="00243599"/>
    <w:rsid w:val="00243994"/>
    <w:rsid w:val="00243D0C"/>
    <w:rsid w:val="00244C53"/>
    <w:rsid w:val="0024506A"/>
    <w:rsid w:val="00251538"/>
    <w:rsid w:val="00252240"/>
    <w:rsid w:val="0025334A"/>
    <w:rsid w:val="00254777"/>
    <w:rsid w:val="00255EB0"/>
    <w:rsid w:val="00256694"/>
    <w:rsid w:val="00256ED4"/>
    <w:rsid w:val="002606D7"/>
    <w:rsid w:val="00264672"/>
    <w:rsid w:val="00266A92"/>
    <w:rsid w:val="00266ACD"/>
    <w:rsid w:val="00267747"/>
    <w:rsid w:val="00272978"/>
    <w:rsid w:val="00273587"/>
    <w:rsid w:val="002757BA"/>
    <w:rsid w:val="0027625E"/>
    <w:rsid w:val="00276FE1"/>
    <w:rsid w:val="002777B9"/>
    <w:rsid w:val="00280BDF"/>
    <w:rsid w:val="00280DDF"/>
    <w:rsid w:val="002815BD"/>
    <w:rsid w:val="00281EE8"/>
    <w:rsid w:val="00284B28"/>
    <w:rsid w:val="00285DFB"/>
    <w:rsid w:val="002866DE"/>
    <w:rsid w:val="00286D73"/>
    <w:rsid w:val="0028725B"/>
    <w:rsid w:val="0029046A"/>
    <w:rsid w:val="00290B8B"/>
    <w:rsid w:val="00292BAB"/>
    <w:rsid w:val="002933C5"/>
    <w:rsid w:val="0029403B"/>
    <w:rsid w:val="002957E3"/>
    <w:rsid w:val="00295BC9"/>
    <w:rsid w:val="002A026E"/>
    <w:rsid w:val="002A10D4"/>
    <w:rsid w:val="002A3119"/>
    <w:rsid w:val="002A3770"/>
    <w:rsid w:val="002A4989"/>
    <w:rsid w:val="002A4BD7"/>
    <w:rsid w:val="002A5EC4"/>
    <w:rsid w:val="002A7060"/>
    <w:rsid w:val="002B31A8"/>
    <w:rsid w:val="002B3B7C"/>
    <w:rsid w:val="002B3BBC"/>
    <w:rsid w:val="002B3FCB"/>
    <w:rsid w:val="002B4AE1"/>
    <w:rsid w:val="002B59D3"/>
    <w:rsid w:val="002B6577"/>
    <w:rsid w:val="002C0C45"/>
    <w:rsid w:val="002C0FA6"/>
    <w:rsid w:val="002C1CEC"/>
    <w:rsid w:val="002C1E77"/>
    <w:rsid w:val="002C2F5A"/>
    <w:rsid w:val="002C353E"/>
    <w:rsid w:val="002C3C9A"/>
    <w:rsid w:val="002C4449"/>
    <w:rsid w:val="002C51CE"/>
    <w:rsid w:val="002C5EB0"/>
    <w:rsid w:val="002C63E0"/>
    <w:rsid w:val="002C6866"/>
    <w:rsid w:val="002D06D1"/>
    <w:rsid w:val="002D3BC0"/>
    <w:rsid w:val="002D4108"/>
    <w:rsid w:val="002D41EB"/>
    <w:rsid w:val="002D5A32"/>
    <w:rsid w:val="002D5CD3"/>
    <w:rsid w:val="002D6C9F"/>
    <w:rsid w:val="002D70CE"/>
    <w:rsid w:val="002E052C"/>
    <w:rsid w:val="002E0B22"/>
    <w:rsid w:val="002E0BD5"/>
    <w:rsid w:val="002E17CF"/>
    <w:rsid w:val="002E2082"/>
    <w:rsid w:val="002E26F1"/>
    <w:rsid w:val="002E3CF1"/>
    <w:rsid w:val="002E4A2B"/>
    <w:rsid w:val="002E5D43"/>
    <w:rsid w:val="002E5FA7"/>
    <w:rsid w:val="002E6BD1"/>
    <w:rsid w:val="002F01D0"/>
    <w:rsid w:val="002F0CD2"/>
    <w:rsid w:val="002F10E7"/>
    <w:rsid w:val="002F1B7B"/>
    <w:rsid w:val="002F1C96"/>
    <w:rsid w:val="002F21BC"/>
    <w:rsid w:val="002F2C74"/>
    <w:rsid w:val="002F2D4E"/>
    <w:rsid w:val="002F540B"/>
    <w:rsid w:val="002F5587"/>
    <w:rsid w:val="002F6F82"/>
    <w:rsid w:val="003007D8"/>
    <w:rsid w:val="00300EF9"/>
    <w:rsid w:val="00302118"/>
    <w:rsid w:val="00303F15"/>
    <w:rsid w:val="00305823"/>
    <w:rsid w:val="003068D6"/>
    <w:rsid w:val="003075D9"/>
    <w:rsid w:val="00307F23"/>
    <w:rsid w:val="00307FF1"/>
    <w:rsid w:val="00310DEC"/>
    <w:rsid w:val="0031207F"/>
    <w:rsid w:val="0031234D"/>
    <w:rsid w:val="003123FD"/>
    <w:rsid w:val="0031250D"/>
    <w:rsid w:val="00313D0C"/>
    <w:rsid w:val="003161A5"/>
    <w:rsid w:val="00321074"/>
    <w:rsid w:val="0032188F"/>
    <w:rsid w:val="0032202B"/>
    <w:rsid w:val="00324058"/>
    <w:rsid w:val="003267EC"/>
    <w:rsid w:val="00326E64"/>
    <w:rsid w:val="00327226"/>
    <w:rsid w:val="00327841"/>
    <w:rsid w:val="00327B9E"/>
    <w:rsid w:val="00327CDE"/>
    <w:rsid w:val="00331456"/>
    <w:rsid w:val="0033289A"/>
    <w:rsid w:val="003328C5"/>
    <w:rsid w:val="0033311E"/>
    <w:rsid w:val="00334612"/>
    <w:rsid w:val="003361E5"/>
    <w:rsid w:val="00336399"/>
    <w:rsid w:val="00336890"/>
    <w:rsid w:val="00341333"/>
    <w:rsid w:val="00342012"/>
    <w:rsid w:val="00342C4C"/>
    <w:rsid w:val="003461D4"/>
    <w:rsid w:val="003462E0"/>
    <w:rsid w:val="00346B28"/>
    <w:rsid w:val="003474DC"/>
    <w:rsid w:val="00350AC5"/>
    <w:rsid w:val="003510E6"/>
    <w:rsid w:val="00351407"/>
    <w:rsid w:val="00352067"/>
    <w:rsid w:val="00352BF9"/>
    <w:rsid w:val="00352D6D"/>
    <w:rsid w:val="00353957"/>
    <w:rsid w:val="00354428"/>
    <w:rsid w:val="00354AB8"/>
    <w:rsid w:val="003550E5"/>
    <w:rsid w:val="00361E52"/>
    <w:rsid w:val="003624E0"/>
    <w:rsid w:val="00365D82"/>
    <w:rsid w:val="00366A85"/>
    <w:rsid w:val="00370765"/>
    <w:rsid w:val="0037409E"/>
    <w:rsid w:val="00375466"/>
    <w:rsid w:val="00375A02"/>
    <w:rsid w:val="003766E1"/>
    <w:rsid w:val="00376798"/>
    <w:rsid w:val="00376FE9"/>
    <w:rsid w:val="00377803"/>
    <w:rsid w:val="00377B9B"/>
    <w:rsid w:val="00381F72"/>
    <w:rsid w:val="003832E6"/>
    <w:rsid w:val="00383FF9"/>
    <w:rsid w:val="00385116"/>
    <w:rsid w:val="003864B4"/>
    <w:rsid w:val="00386FF9"/>
    <w:rsid w:val="00387505"/>
    <w:rsid w:val="003902CF"/>
    <w:rsid w:val="00390807"/>
    <w:rsid w:val="003910B6"/>
    <w:rsid w:val="00392A07"/>
    <w:rsid w:val="00394041"/>
    <w:rsid w:val="00395D23"/>
    <w:rsid w:val="00397E55"/>
    <w:rsid w:val="003A1B25"/>
    <w:rsid w:val="003A2122"/>
    <w:rsid w:val="003A2AE9"/>
    <w:rsid w:val="003A34E9"/>
    <w:rsid w:val="003A445A"/>
    <w:rsid w:val="003A4600"/>
    <w:rsid w:val="003A4E88"/>
    <w:rsid w:val="003A507B"/>
    <w:rsid w:val="003B0522"/>
    <w:rsid w:val="003B122D"/>
    <w:rsid w:val="003B12C3"/>
    <w:rsid w:val="003B1B11"/>
    <w:rsid w:val="003B1B50"/>
    <w:rsid w:val="003B3FED"/>
    <w:rsid w:val="003B5367"/>
    <w:rsid w:val="003B5C64"/>
    <w:rsid w:val="003B6FE3"/>
    <w:rsid w:val="003B70BF"/>
    <w:rsid w:val="003C0475"/>
    <w:rsid w:val="003C2249"/>
    <w:rsid w:val="003C25DF"/>
    <w:rsid w:val="003C339C"/>
    <w:rsid w:val="003C3658"/>
    <w:rsid w:val="003C42A5"/>
    <w:rsid w:val="003C4743"/>
    <w:rsid w:val="003C5986"/>
    <w:rsid w:val="003C66DE"/>
    <w:rsid w:val="003C6D97"/>
    <w:rsid w:val="003D0682"/>
    <w:rsid w:val="003D22AF"/>
    <w:rsid w:val="003D23F1"/>
    <w:rsid w:val="003D2D65"/>
    <w:rsid w:val="003D40D0"/>
    <w:rsid w:val="003D46FE"/>
    <w:rsid w:val="003E1E89"/>
    <w:rsid w:val="003E1EC9"/>
    <w:rsid w:val="003E2489"/>
    <w:rsid w:val="003E30E2"/>
    <w:rsid w:val="003E4764"/>
    <w:rsid w:val="003F0014"/>
    <w:rsid w:val="003F25CE"/>
    <w:rsid w:val="003F28B6"/>
    <w:rsid w:val="003F3176"/>
    <w:rsid w:val="003F3FB2"/>
    <w:rsid w:val="003F5118"/>
    <w:rsid w:val="003F531F"/>
    <w:rsid w:val="003F6858"/>
    <w:rsid w:val="003F70CB"/>
    <w:rsid w:val="004002A0"/>
    <w:rsid w:val="00401799"/>
    <w:rsid w:val="00401E0A"/>
    <w:rsid w:val="00402FA1"/>
    <w:rsid w:val="0040344C"/>
    <w:rsid w:val="00403FBE"/>
    <w:rsid w:val="00404621"/>
    <w:rsid w:val="00406FBB"/>
    <w:rsid w:val="0040751E"/>
    <w:rsid w:val="00413113"/>
    <w:rsid w:val="00413152"/>
    <w:rsid w:val="0041320E"/>
    <w:rsid w:val="0041434B"/>
    <w:rsid w:val="004155BF"/>
    <w:rsid w:val="00415BA6"/>
    <w:rsid w:val="0041602D"/>
    <w:rsid w:val="004168CC"/>
    <w:rsid w:val="004172DF"/>
    <w:rsid w:val="004177D0"/>
    <w:rsid w:val="00417E81"/>
    <w:rsid w:val="004202E2"/>
    <w:rsid w:val="0042039C"/>
    <w:rsid w:val="0042105E"/>
    <w:rsid w:val="00421505"/>
    <w:rsid w:val="0042177F"/>
    <w:rsid w:val="0042397F"/>
    <w:rsid w:val="004241A9"/>
    <w:rsid w:val="00424821"/>
    <w:rsid w:val="00425546"/>
    <w:rsid w:val="004269C2"/>
    <w:rsid w:val="00426FD0"/>
    <w:rsid w:val="0042708A"/>
    <w:rsid w:val="004306D2"/>
    <w:rsid w:val="0043082F"/>
    <w:rsid w:val="00431468"/>
    <w:rsid w:val="004326DC"/>
    <w:rsid w:val="00432FB4"/>
    <w:rsid w:val="004334F6"/>
    <w:rsid w:val="0043369F"/>
    <w:rsid w:val="00433804"/>
    <w:rsid w:val="00433AC5"/>
    <w:rsid w:val="004348A8"/>
    <w:rsid w:val="00435CED"/>
    <w:rsid w:val="00435FF4"/>
    <w:rsid w:val="004376A0"/>
    <w:rsid w:val="00437B21"/>
    <w:rsid w:val="0044090A"/>
    <w:rsid w:val="00441B3D"/>
    <w:rsid w:val="00442939"/>
    <w:rsid w:val="00442BAA"/>
    <w:rsid w:val="00442CED"/>
    <w:rsid w:val="00442EE4"/>
    <w:rsid w:val="00444007"/>
    <w:rsid w:val="00444FEF"/>
    <w:rsid w:val="0044559D"/>
    <w:rsid w:val="00446128"/>
    <w:rsid w:val="004465A3"/>
    <w:rsid w:val="00446FE6"/>
    <w:rsid w:val="00447B31"/>
    <w:rsid w:val="0045007C"/>
    <w:rsid w:val="00450885"/>
    <w:rsid w:val="00451A87"/>
    <w:rsid w:val="00453F96"/>
    <w:rsid w:val="00454798"/>
    <w:rsid w:val="00454D7E"/>
    <w:rsid w:val="00454E28"/>
    <w:rsid w:val="004575EC"/>
    <w:rsid w:val="00457F37"/>
    <w:rsid w:val="0046166C"/>
    <w:rsid w:val="00461691"/>
    <w:rsid w:val="00462CE4"/>
    <w:rsid w:val="00462D99"/>
    <w:rsid w:val="00463CB3"/>
    <w:rsid w:val="00465133"/>
    <w:rsid w:val="004651FF"/>
    <w:rsid w:val="00465F5C"/>
    <w:rsid w:val="00465F67"/>
    <w:rsid w:val="004660CD"/>
    <w:rsid w:val="004661EA"/>
    <w:rsid w:val="00466E44"/>
    <w:rsid w:val="00467261"/>
    <w:rsid w:val="00474760"/>
    <w:rsid w:val="00476832"/>
    <w:rsid w:val="00476A12"/>
    <w:rsid w:val="00476D4A"/>
    <w:rsid w:val="004805AD"/>
    <w:rsid w:val="00481C0E"/>
    <w:rsid w:val="004826E6"/>
    <w:rsid w:val="004828EC"/>
    <w:rsid w:val="004847CF"/>
    <w:rsid w:val="004855BD"/>
    <w:rsid w:val="00485D43"/>
    <w:rsid w:val="004864D0"/>
    <w:rsid w:val="00486BF4"/>
    <w:rsid w:val="00490114"/>
    <w:rsid w:val="0049058D"/>
    <w:rsid w:val="00491860"/>
    <w:rsid w:val="0049526B"/>
    <w:rsid w:val="004A1BCC"/>
    <w:rsid w:val="004A3866"/>
    <w:rsid w:val="004A40F9"/>
    <w:rsid w:val="004A46C5"/>
    <w:rsid w:val="004A4A19"/>
    <w:rsid w:val="004A5503"/>
    <w:rsid w:val="004A60F2"/>
    <w:rsid w:val="004A6543"/>
    <w:rsid w:val="004A7B74"/>
    <w:rsid w:val="004B0CD1"/>
    <w:rsid w:val="004B1512"/>
    <w:rsid w:val="004B2508"/>
    <w:rsid w:val="004B26DE"/>
    <w:rsid w:val="004B38A0"/>
    <w:rsid w:val="004B466E"/>
    <w:rsid w:val="004B4A26"/>
    <w:rsid w:val="004B72C6"/>
    <w:rsid w:val="004B74DD"/>
    <w:rsid w:val="004C255A"/>
    <w:rsid w:val="004C263C"/>
    <w:rsid w:val="004C31A6"/>
    <w:rsid w:val="004C381F"/>
    <w:rsid w:val="004C4260"/>
    <w:rsid w:val="004C55C3"/>
    <w:rsid w:val="004C6F02"/>
    <w:rsid w:val="004C74D0"/>
    <w:rsid w:val="004D1B30"/>
    <w:rsid w:val="004D25FB"/>
    <w:rsid w:val="004D2E6B"/>
    <w:rsid w:val="004D363A"/>
    <w:rsid w:val="004D606D"/>
    <w:rsid w:val="004D6B5F"/>
    <w:rsid w:val="004D6FF9"/>
    <w:rsid w:val="004D7EB5"/>
    <w:rsid w:val="004E1B00"/>
    <w:rsid w:val="004E2499"/>
    <w:rsid w:val="004E5D59"/>
    <w:rsid w:val="004E6A18"/>
    <w:rsid w:val="004F2A1C"/>
    <w:rsid w:val="004F30F3"/>
    <w:rsid w:val="004F37BA"/>
    <w:rsid w:val="004F45A4"/>
    <w:rsid w:val="004F46DE"/>
    <w:rsid w:val="004F539F"/>
    <w:rsid w:val="004F5FAF"/>
    <w:rsid w:val="004F63A3"/>
    <w:rsid w:val="004F74B5"/>
    <w:rsid w:val="004F7666"/>
    <w:rsid w:val="004F7DC8"/>
    <w:rsid w:val="00502C19"/>
    <w:rsid w:val="00503889"/>
    <w:rsid w:val="00504E25"/>
    <w:rsid w:val="005056CA"/>
    <w:rsid w:val="005066DA"/>
    <w:rsid w:val="00510EF8"/>
    <w:rsid w:val="00512AA0"/>
    <w:rsid w:val="00513693"/>
    <w:rsid w:val="00513A90"/>
    <w:rsid w:val="00516DF0"/>
    <w:rsid w:val="0051764E"/>
    <w:rsid w:val="00520252"/>
    <w:rsid w:val="0052059C"/>
    <w:rsid w:val="0052142C"/>
    <w:rsid w:val="0052166D"/>
    <w:rsid w:val="00521E75"/>
    <w:rsid w:val="005220C3"/>
    <w:rsid w:val="00523D11"/>
    <w:rsid w:val="0052401E"/>
    <w:rsid w:val="005264C1"/>
    <w:rsid w:val="00526D05"/>
    <w:rsid w:val="00526E23"/>
    <w:rsid w:val="00530FD0"/>
    <w:rsid w:val="00533254"/>
    <w:rsid w:val="005376C0"/>
    <w:rsid w:val="00537B34"/>
    <w:rsid w:val="00540861"/>
    <w:rsid w:val="005416D4"/>
    <w:rsid w:val="005468FA"/>
    <w:rsid w:val="00547E97"/>
    <w:rsid w:val="0055043E"/>
    <w:rsid w:val="0055071F"/>
    <w:rsid w:val="0055114D"/>
    <w:rsid w:val="005538A9"/>
    <w:rsid w:val="00553E93"/>
    <w:rsid w:val="00556992"/>
    <w:rsid w:val="005578C0"/>
    <w:rsid w:val="005578DF"/>
    <w:rsid w:val="00557DD3"/>
    <w:rsid w:val="00557FAE"/>
    <w:rsid w:val="005607E8"/>
    <w:rsid w:val="00562995"/>
    <w:rsid w:val="00565BCD"/>
    <w:rsid w:val="00566499"/>
    <w:rsid w:val="005708A2"/>
    <w:rsid w:val="00570A31"/>
    <w:rsid w:val="005716B9"/>
    <w:rsid w:val="005724EC"/>
    <w:rsid w:val="00577B7A"/>
    <w:rsid w:val="00581E95"/>
    <w:rsid w:val="00581FDF"/>
    <w:rsid w:val="00582003"/>
    <w:rsid w:val="005830CE"/>
    <w:rsid w:val="00583517"/>
    <w:rsid w:val="005835DD"/>
    <w:rsid w:val="00584434"/>
    <w:rsid w:val="005904BB"/>
    <w:rsid w:val="005916A6"/>
    <w:rsid w:val="00591E60"/>
    <w:rsid w:val="005921EE"/>
    <w:rsid w:val="00593739"/>
    <w:rsid w:val="005938A0"/>
    <w:rsid w:val="00593CF1"/>
    <w:rsid w:val="005947CB"/>
    <w:rsid w:val="005953A1"/>
    <w:rsid w:val="00595493"/>
    <w:rsid w:val="00595EB7"/>
    <w:rsid w:val="00596C01"/>
    <w:rsid w:val="005A016F"/>
    <w:rsid w:val="005A1102"/>
    <w:rsid w:val="005A18B8"/>
    <w:rsid w:val="005A434F"/>
    <w:rsid w:val="005A443D"/>
    <w:rsid w:val="005A4B14"/>
    <w:rsid w:val="005A7578"/>
    <w:rsid w:val="005A7FA3"/>
    <w:rsid w:val="005B0577"/>
    <w:rsid w:val="005B0BAA"/>
    <w:rsid w:val="005B30E3"/>
    <w:rsid w:val="005B4B92"/>
    <w:rsid w:val="005B5476"/>
    <w:rsid w:val="005B7F80"/>
    <w:rsid w:val="005C0F0E"/>
    <w:rsid w:val="005C1FF7"/>
    <w:rsid w:val="005C250A"/>
    <w:rsid w:val="005C2DC4"/>
    <w:rsid w:val="005C4611"/>
    <w:rsid w:val="005C476C"/>
    <w:rsid w:val="005C5F3B"/>
    <w:rsid w:val="005C67F9"/>
    <w:rsid w:val="005D2E72"/>
    <w:rsid w:val="005D36A9"/>
    <w:rsid w:val="005D5C7E"/>
    <w:rsid w:val="005D70E5"/>
    <w:rsid w:val="005D786C"/>
    <w:rsid w:val="005E04A5"/>
    <w:rsid w:val="005E06B7"/>
    <w:rsid w:val="005E1D6E"/>
    <w:rsid w:val="005E380D"/>
    <w:rsid w:val="005E4CA8"/>
    <w:rsid w:val="005E6700"/>
    <w:rsid w:val="005E7D7A"/>
    <w:rsid w:val="005F05F3"/>
    <w:rsid w:val="005F0C99"/>
    <w:rsid w:val="005F153E"/>
    <w:rsid w:val="005F173C"/>
    <w:rsid w:val="005F229B"/>
    <w:rsid w:val="005F35F0"/>
    <w:rsid w:val="005F3772"/>
    <w:rsid w:val="005F41FF"/>
    <w:rsid w:val="005F4466"/>
    <w:rsid w:val="005F5B71"/>
    <w:rsid w:val="005F68EE"/>
    <w:rsid w:val="005F72D1"/>
    <w:rsid w:val="005F7E07"/>
    <w:rsid w:val="00600D64"/>
    <w:rsid w:val="00601575"/>
    <w:rsid w:val="00602690"/>
    <w:rsid w:val="00604F43"/>
    <w:rsid w:val="006060D8"/>
    <w:rsid w:val="00606FE8"/>
    <w:rsid w:val="006076B0"/>
    <w:rsid w:val="00607FCD"/>
    <w:rsid w:val="00610442"/>
    <w:rsid w:val="00611805"/>
    <w:rsid w:val="00611E64"/>
    <w:rsid w:val="00612353"/>
    <w:rsid w:val="0061420A"/>
    <w:rsid w:val="0061486D"/>
    <w:rsid w:val="006153FC"/>
    <w:rsid w:val="006166AF"/>
    <w:rsid w:val="00616B5F"/>
    <w:rsid w:val="00617033"/>
    <w:rsid w:val="006172E3"/>
    <w:rsid w:val="006201D5"/>
    <w:rsid w:val="00620255"/>
    <w:rsid w:val="006223F6"/>
    <w:rsid w:val="00622B4F"/>
    <w:rsid w:val="00624C98"/>
    <w:rsid w:val="0062610F"/>
    <w:rsid w:val="00626193"/>
    <w:rsid w:val="006261B6"/>
    <w:rsid w:val="006267B9"/>
    <w:rsid w:val="00627509"/>
    <w:rsid w:val="00633F69"/>
    <w:rsid w:val="00634235"/>
    <w:rsid w:val="00634504"/>
    <w:rsid w:val="006351CE"/>
    <w:rsid w:val="00635B8B"/>
    <w:rsid w:val="00636A64"/>
    <w:rsid w:val="006372FA"/>
    <w:rsid w:val="00640365"/>
    <w:rsid w:val="006404DA"/>
    <w:rsid w:val="00641866"/>
    <w:rsid w:val="00644ABE"/>
    <w:rsid w:val="006451C1"/>
    <w:rsid w:val="006464E6"/>
    <w:rsid w:val="00646C22"/>
    <w:rsid w:val="0065003B"/>
    <w:rsid w:val="006529B7"/>
    <w:rsid w:val="00653A8E"/>
    <w:rsid w:val="00653F38"/>
    <w:rsid w:val="006549F3"/>
    <w:rsid w:val="00654BD3"/>
    <w:rsid w:val="00655184"/>
    <w:rsid w:val="00655643"/>
    <w:rsid w:val="00655FC4"/>
    <w:rsid w:val="00656165"/>
    <w:rsid w:val="006600F9"/>
    <w:rsid w:val="006620B2"/>
    <w:rsid w:val="006638D2"/>
    <w:rsid w:val="00663A26"/>
    <w:rsid w:val="006643D0"/>
    <w:rsid w:val="00664E00"/>
    <w:rsid w:val="0066628A"/>
    <w:rsid w:val="00666836"/>
    <w:rsid w:val="0067045C"/>
    <w:rsid w:val="006726A9"/>
    <w:rsid w:val="006757FE"/>
    <w:rsid w:val="00675BDB"/>
    <w:rsid w:val="00675FAB"/>
    <w:rsid w:val="00676045"/>
    <w:rsid w:val="006769DA"/>
    <w:rsid w:val="006814AE"/>
    <w:rsid w:val="006830AA"/>
    <w:rsid w:val="00683C7E"/>
    <w:rsid w:val="006840BB"/>
    <w:rsid w:val="006849EE"/>
    <w:rsid w:val="00687A3A"/>
    <w:rsid w:val="00690147"/>
    <w:rsid w:val="006917A0"/>
    <w:rsid w:val="00692EF1"/>
    <w:rsid w:val="00693118"/>
    <w:rsid w:val="006935CA"/>
    <w:rsid w:val="00693880"/>
    <w:rsid w:val="006939B7"/>
    <w:rsid w:val="006941BB"/>
    <w:rsid w:val="00694C8E"/>
    <w:rsid w:val="006950EF"/>
    <w:rsid w:val="00695E53"/>
    <w:rsid w:val="006965F1"/>
    <w:rsid w:val="00696A9B"/>
    <w:rsid w:val="00697140"/>
    <w:rsid w:val="006A0B54"/>
    <w:rsid w:val="006A2A72"/>
    <w:rsid w:val="006A55F0"/>
    <w:rsid w:val="006A7343"/>
    <w:rsid w:val="006B149C"/>
    <w:rsid w:val="006B2E90"/>
    <w:rsid w:val="006B3CEC"/>
    <w:rsid w:val="006B3D98"/>
    <w:rsid w:val="006B596D"/>
    <w:rsid w:val="006B6BC0"/>
    <w:rsid w:val="006B7A7F"/>
    <w:rsid w:val="006B7D10"/>
    <w:rsid w:val="006B7D2B"/>
    <w:rsid w:val="006C2398"/>
    <w:rsid w:val="006C4C28"/>
    <w:rsid w:val="006C6BAD"/>
    <w:rsid w:val="006D24A2"/>
    <w:rsid w:val="006D2C3C"/>
    <w:rsid w:val="006D3963"/>
    <w:rsid w:val="006D3BA7"/>
    <w:rsid w:val="006D4723"/>
    <w:rsid w:val="006D5079"/>
    <w:rsid w:val="006D59DA"/>
    <w:rsid w:val="006D6AA1"/>
    <w:rsid w:val="006D6DD8"/>
    <w:rsid w:val="006D738B"/>
    <w:rsid w:val="006D74A3"/>
    <w:rsid w:val="006D75AB"/>
    <w:rsid w:val="006E14BD"/>
    <w:rsid w:val="006E2D59"/>
    <w:rsid w:val="006E3639"/>
    <w:rsid w:val="006E3B6E"/>
    <w:rsid w:val="006E40A2"/>
    <w:rsid w:val="006E4254"/>
    <w:rsid w:val="006E6513"/>
    <w:rsid w:val="006E7928"/>
    <w:rsid w:val="006F04FB"/>
    <w:rsid w:val="006F1784"/>
    <w:rsid w:val="006F37AB"/>
    <w:rsid w:val="006F3B6B"/>
    <w:rsid w:val="006F54D2"/>
    <w:rsid w:val="006F5706"/>
    <w:rsid w:val="006F6EDF"/>
    <w:rsid w:val="0070223B"/>
    <w:rsid w:val="00703588"/>
    <w:rsid w:val="00704708"/>
    <w:rsid w:val="00704ED2"/>
    <w:rsid w:val="007055CE"/>
    <w:rsid w:val="007069A7"/>
    <w:rsid w:val="00706A8F"/>
    <w:rsid w:val="007075A4"/>
    <w:rsid w:val="007104A7"/>
    <w:rsid w:val="00710BE6"/>
    <w:rsid w:val="00712EFA"/>
    <w:rsid w:val="00713FA7"/>
    <w:rsid w:val="007144A8"/>
    <w:rsid w:val="00714BF7"/>
    <w:rsid w:val="00717E40"/>
    <w:rsid w:val="007210DF"/>
    <w:rsid w:val="007212E3"/>
    <w:rsid w:val="00722BB1"/>
    <w:rsid w:val="00723B3E"/>
    <w:rsid w:val="00723E18"/>
    <w:rsid w:val="00724499"/>
    <w:rsid w:val="0072523A"/>
    <w:rsid w:val="00726439"/>
    <w:rsid w:val="0072777C"/>
    <w:rsid w:val="00730088"/>
    <w:rsid w:val="0073086F"/>
    <w:rsid w:val="00731EA4"/>
    <w:rsid w:val="00732822"/>
    <w:rsid w:val="007328D2"/>
    <w:rsid w:val="00732FF2"/>
    <w:rsid w:val="007339A8"/>
    <w:rsid w:val="00733E5A"/>
    <w:rsid w:val="00734628"/>
    <w:rsid w:val="0073569E"/>
    <w:rsid w:val="0073775B"/>
    <w:rsid w:val="00741ACA"/>
    <w:rsid w:val="00743492"/>
    <w:rsid w:val="007443BF"/>
    <w:rsid w:val="00745A0C"/>
    <w:rsid w:val="00745D9C"/>
    <w:rsid w:val="007460EC"/>
    <w:rsid w:val="007467B2"/>
    <w:rsid w:val="00746EF8"/>
    <w:rsid w:val="0074777C"/>
    <w:rsid w:val="00750AC2"/>
    <w:rsid w:val="00752056"/>
    <w:rsid w:val="007533FE"/>
    <w:rsid w:val="00753720"/>
    <w:rsid w:val="00755841"/>
    <w:rsid w:val="0075633A"/>
    <w:rsid w:val="00757C56"/>
    <w:rsid w:val="00762147"/>
    <w:rsid w:val="007649DB"/>
    <w:rsid w:val="00765A97"/>
    <w:rsid w:val="00767DA5"/>
    <w:rsid w:val="00770030"/>
    <w:rsid w:val="00770651"/>
    <w:rsid w:val="00770F17"/>
    <w:rsid w:val="0077165C"/>
    <w:rsid w:val="00772EFC"/>
    <w:rsid w:val="00773C65"/>
    <w:rsid w:val="00773CE8"/>
    <w:rsid w:val="00774A10"/>
    <w:rsid w:val="00775BAB"/>
    <w:rsid w:val="00776B79"/>
    <w:rsid w:val="007773D3"/>
    <w:rsid w:val="007775ED"/>
    <w:rsid w:val="007776C2"/>
    <w:rsid w:val="00780021"/>
    <w:rsid w:val="007803E5"/>
    <w:rsid w:val="00780D9A"/>
    <w:rsid w:val="00780E51"/>
    <w:rsid w:val="007811AD"/>
    <w:rsid w:val="007825E3"/>
    <w:rsid w:val="00782B07"/>
    <w:rsid w:val="0078457F"/>
    <w:rsid w:val="00784AFB"/>
    <w:rsid w:val="00786BB0"/>
    <w:rsid w:val="007913D8"/>
    <w:rsid w:val="007934D1"/>
    <w:rsid w:val="007954A0"/>
    <w:rsid w:val="00795BF8"/>
    <w:rsid w:val="00796022"/>
    <w:rsid w:val="00796AA7"/>
    <w:rsid w:val="00797243"/>
    <w:rsid w:val="00797D3E"/>
    <w:rsid w:val="007A0C87"/>
    <w:rsid w:val="007A23E9"/>
    <w:rsid w:val="007A6E10"/>
    <w:rsid w:val="007A7029"/>
    <w:rsid w:val="007A7E5E"/>
    <w:rsid w:val="007B13AD"/>
    <w:rsid w:val="007B18F0"/>
    <w:rsid w:val="007B1C10"/>
    <w:rsid w:val="007B1C1D"/>
    <w:rsid w:val="007B317E"/>
    <w:rsid w:val="007B4588"/>
    <w:rsid w:val="007B6029"/>
    <w:rsid w:val="007B60BC"/>
    <w:rsid w:val="007C0E84"/>
    <w:rsid w:val="007C1788"/>
    <w:rsid w:val="007C1BBF"/>
    <w:rsid w:val="007C32C4"/>
    <w:rsid w:val="007C3919"/>
    <w:rsid w:val="007C4C6D"/>
    <w:rsid w:val="007C55BE"/>
    <w:rsid w:val="007C5833"/>
    <w:rsid w:val="007C77BF"/>
    <w:rsid w:val="007C7C2A"/>
    <w:rsid w:val="007C7D3F"/>
    <w:rsid w:val="007D0DAD"/>
    <w:rsid w:val="007D187C"/>
    <w:rsid w:val="007D1AC7"/>
    <w:rsid w:val="007D58FC"/>
    <w:rsid w:val="007D5CA2"/>
    <w:rsid w:val="007D6985"/>
    <w:rsid w:val="007D6ECF"/>
    <w:rsid w:val="007D75C2"/>
    <w:rsid w:val="007D7CD4"/>
    <w:rsid w:val="007E00F1"/>
    <w:rsid w:val="007E01B9"/>
    <w:rsid w:val="007E0772"/>
    <w:rsid w:val="007E0E1E"/>
    <w:rsid w:val="007E22AE"/>
    <w:rsid w:val="007E49C5"/>
    <w:rsid w:val="007E54F8"/>
    <w:rsid w:val="007E5F47"/>
    <w:rsid w:val="007E7194"/>
    <w:rsid w:val="007E7740"/>
    <w:rsid w:val="007F0556"/>
    <w:rsid w:val="007F11B4"/>
    <w:rsid w:val="007F295D"/>
    <w:rsid w:val="007F2E95"/>
    <w:rsid w:val="007F3C16"/>
    <w:rsid w:val="007F4F72"/>
    <w:rsid w:val="007F6CD4"/>
    <w:rsid w:val="007F72EB"/>
    <w:rsid w:val="007F7805"/>
    <w:rsid w:val="007F7B14"/>
    <w:rsid w:val="00800D16"/>
    <w:rsid w:val="00802B53"/>
    <w:rsid w:val="00803567"/>
    <w:rsid w:val="008107AC"/>
    <w:rsid w:val="00810B3E"/>
    <w:rsid w:val="008110F8"/>
    <w:rsid w:val="0081143E"/>
    <w:rsid w:val="00813C8C"/>
    <w:rsid w:val="008140B7"/>
    <w:rsid w:val="00815C4C"/>
    <w:rsid w:val="00815EB8"/>
    <w:rsid w:val="00817B05"/>
    <w:rsid w:val="008210F9"/>
    <w:rsid w:val="0082139A"/>
    <w:rsid w:val="00824AF2"/>
    <w:rsid w:val="0082561C"/>
    <w:rsid w:val="00826603"/>
    <w:rsid w:val="00827AB7"/>
    <w:rsid w:val="008306E3"/>
    <w:rsid w:val="00830750"/>
    <w:rsid w:val="008314C4"/>
    <w:rsid w:val="008332DC"/>
    <w:rsid w:val="00833972"/>
    <w:rsid w:val="00837501"/>
    <w:rsid w:val="00837C0C"/>
    <w:rsid w:val="008418C0"/>
    <w:rsid w:val="00841C57"/>
    <w:rsid w:val="00844BCC"/>
    <w:rsid w:val="00847312"/>
    <w:rsid w:val="008519A8"/>
    <w:rsid w:val="00852247"/>
    <w:rsid w:val="00853D07"/>
    <w:rsid w:val="00854119"/>
    <w:rsid w:val="008544B2"/>
    <w:rsid w:val="00855D24"/>
    <w:rsid w:val="00856F99"/>
    <w:rsid w:val="00860533"/>
    <w:rsid w:val="00860B05"/>
    <w:rsid w:val="00860C31"/>
    <w:rsid w:val="00861986"/>
    <w:rsid w:val="00864677"/>
    <w:rsid w:val="00865D6D"/>
    <w:rsid w:val="008661DE"/>
    <w:rsid w:val="00866918"/>
    <w:rsid w:val="00867876"/>
    <w:rsid w:val="00867E47"/>
    <w:rsid w:val="008724E0"/>
    <w:rsid w:val="0087267F"/>
    <w:rsid w:val="00873000"/>
    <w:rsid w:val="008732B0"/>
    <w:rsid w:val="008744DE"/>
    <w:rsid w:val="008752FE"/>
    <w:rsid w:val="00876C94"/>
    <w:rsid w:val="00876CED"/>
    <w:rsid w:val="00876F8A"/>
    <w:rsid w:val="008779C4"/>
    <w:rsid w:val="00880A19"/>
    <w:rsid w:val="00880DA1"/>
    <w:rsid w:val="00881A17"/>
    <w:rsid w:val="00882BBB"/>
    <w:rsid w:val="008832F4"/>
    <w:rsid w:val="00883386"/>
    <w:rsid w:val="00885471"/>
    <w:rsid w:val="00890208"/>
    <w:rsid w:val="008904D3"/>
    <w:rsid w:val="00891C08"/>
    <w:rsid w:val="0089302A"/>
    <w:rsid w:val="00893F52"/>
    <w:rsid w:val="008943B1"/>
    <w:rsid w:val="00895916"/>
    <w:rsid w:val="00895ADB"/>
    <w:rsid w:val="008960B5"/>
    <w:rsid w:val="008A020C"/>
    <w:rsid w:val="008A03C0"/>
    <w:rsid w:val="008A0C23"/>
    <w:rsid w:val="008A144B"/>
    <w:rsid w:val="008A50DF"/>
    <w:rsid w:val="008A6B84"/>
    <w:rsid w:val="008B0BA8"/>
    <w:rsid w:val="008B1E47"/>
    <w:rsid w:val="008B2167"/>
    <w:rsid w:val="008B2350"/>
    <w:rsid w:val="008B24E9"/>
    <w:rsid w:val="008B2753"/>
    <w:rsid w:val="008B39DD"/>
    <w:rsid w:val="008B7DFB"/>
    <w:rsid w:val="008C064F"/>
    <w:rsid w:val="008C0B9C"/>
    <w:rsid w:val="008C13FE"/>
    <w:rsid w:val="008C28E0"/>
    <w:rsid w:val="008C424C"/>
    <w:rsid w:val="008C542A"/>
    <w:rsid w:val="008C6F11"/>
    <w:rsid w:val="008C7EB0"/>
    <w:rsid w:val="008D0619"/>
    <w:rsid w:val="008D0808"/>
    <w:rsid w:val="008D0835"/>
    <w:rsid w:val="008D1633"/>
    <w:rsid w:val="008D39DE"/>
    <w:rsid w:val="008D4DB9"/>
    <w:rsid w:val="008D5864"/>
    <w:rsid w:val="008D5C8F"/>
    <w:rsid w:val="008D61C9"/>
    <w:rsid w:val="008D61D4"/>
    <w:rsid w:val="008D72B9"/>
    <w:rsid w:val="008E102F"/>
    <w:rsid w:val="008E1432"/>
    <w:rsid w:val="008E3BE0"/>
    <w:rsid w:val="008E3EA8"/>
    <w:rsid w:val="008E47F9"/>
    <w:rsid w:val="008E4C93"/>
    <w:rsid w:val="008E4E2C"/>
    <w:rsid w:val="008E52CF"/>
    <w:rsid w:val="008E70C4"/>
    <w:rsid w:val="008F2520"/>
    <w:rsid w:val="008F2CDE"/>
    <w:rsid w:val="008F372B"/>
    <w:rsid w:val="008F68E9"/>
    <w:rsid w:val="008F6FE7"/>
    <w:rsid w:val="009007F4"/>
    <w:rsid w:val="00901883"/>
    <w:rsid w:val="00901CC4"/>
    <w:rsid w:val="00902E89"/>
    <w:rsid w:val="009033F4"/>
    <w:rsid w:val="009058A0"/>
    <w:rsid w:val="009059C4"/>
    <w:rsid w:val="00905EE0"/>
    <w:rsid w:val="00906083"/>
    <w:rsid w:val="009066C0"/>
    <w:rsid w:val="009071EC"/>
    <w:rsid w:val="009109CC"/>
    <w:rsid w:val="00911893"/>
    <w:rsid w:val="00913964"/>
    <w:rsid w:val="0091642E"/>
    <w:rsid w:val="00916D21"/>
    <w:rsid w:val="00916F90"/>
    <w:rsid w:val="00917632"/>
    <w:rsid w:val="00917708"/>
    <w:rsid w:val="00922222"/>
    <w:rsid w:val="00922FAA"/>
    <w:rsid w:val="00923709"/>
    <w:rsid w:val="00924454"/>
    <w:rsid w:val="00925016"/>
    <w:rsid w:val="00925CD3"/>
    <w:rsid w:val="009274EB"/>
    <w:rsid w:val="0092786C"/>
    <w:rsid w:val="00931AE1"/>
    <w:rsid w:val="00931D75"/>
    <w:rsid w:val="009335ED"/>
    <w:rsid w:val="009337B1"/>
    <w:rsid w:val="00933948"/>
    <w:rsid w:val="00933A7C"/>
    <w:rsid w:val="0093457C"/>
    <w:rsid w:val="00934A5B"/>
    <w:rsid w:val="00934D2A"/>
    <w:rsid w:val="009353D7"/>
    <w:rsid w:val="009361F1"/>
    <w:rsid w:val="00936B07"/>
    <w:rsid w:val="00940427"/>
    <w:rsid w:val="009406C3"/>
    <w:rsid w:val="00941577"/>
    <w:rsid w:val="0094297F"/>
    <w:rsid w:val="0094363F"/>
    <w:rsid w:val="0094665D"/>
    <w:rsid w:val="00946FDC"/>
    <w:rsid w:val="009500A6"/>
    <w:rsid w:val="00951211"/>
    <w:rsid w:val="0095274D"/>
    <w:rsid w:val="00952E88"/>
    <w:rsid w:val="00954061"/>
    <w:rsid w:val="00957C39"/>
    <w:rsid w:val="00960C22"/>
    <w:rsid w:val="0096211D"/>
    <w:rsid w:val="00963DF1"/>
    <w:rsid w:val="00963FE5"/>
    <w:rsid w:val="00965D29"/>
    <w:rsid w:val="009665CD"/>
    <w:rsid w:val="00966FD3"/>
    <w:rsid w:val="00967E63"/>
    <w:rsid w:val="009704AA"/>
    <w:rsid w:val="00971F7C"/>
    <w:rsid w:val="00972C7F"/>
    <w:rsid w:val="009733DB"/>
    <w:rsid w:val="0097424A"/>
    <w:rsid w:val="00974DA1"/>
    <w:rsid w:val="009768FB"/>
    <w:rsid w:val="00976E1D"/>
    <w:rsid w:val="0098170E"/>
    <w:rsid w:val="0098174F"/>
    <w:rsid w:val="00983FE3"/>
    <w:rsid w:val="00984315"/>
    <w:rsid w:val="009879C2"/>
    <w:rsid w:val="00990000"/>
    <w:rsid w:val="009926AB"/>
    <w:rsid w:val="00992AE9"/>
    <w:rsid w:val="00992B3F"/>
    <w:rsid w:val="00993584"/>
    <w:rsid w:val="009935B1"/>
    <w:rsid w:val="00993F82"/>
    <w:rsid w:val="0099422F"/>
    <w:rsid w:val="00994D75"/>
    <w:rsid w:val="00995CE9"/>
    <w:rsid w:val="00996B20"/>
    <w:rsid w:val="00996D63"/>
    <w:rsid w:val="00997825"/>
    <w:rsid w:val="009A03F1"/>
    <w:rsid w:val="009A0898"/>
    <w:rsid w:val="009A0BF9"/>
    <w:rsid w:val="009A18BB"/>
    <w:rsid w:val="009A1CE7"/>
    <w:rsid w:val="009A212A"/>
    <w:rsid w:val="009A4CEC"/>
    <w:rsid w:val="009A4E67"/>
    <w:rsid w:val="009A52F2"/>
    <w:rsid w:val="009A6FD8"/>
    <w:rsid w:val="009A7454"/>
    <w:rsid w:val="009B18B1"/>
    <w:rsid w:val="009B3AF3"/>
    <w:rsid w:val="009B4E10"/>
    <w:rsid w:val="009B5FD3"/>
    <w:rsid w:val="009B60F0"/>
    <w:rsid w:val="009B639E"/>
    <w:rsid w:val="009B7A18"/>
    <w:rsid w:val="009B7C75"/>
    <w:rsid w:val="009C47D2"/>
    <w:rsid w:val="009C5053"/>
    <w:rsid w:val="009C57A6"/>
    <w:rsid w:val="009C5ED2"/>
    <w:rsid w:val="009C693D"/>
    <w:rsid w:val="009C7A7F"/>
    <w:rsid w:val="009D0A44"/>
    <w:rsid w:val="009D0ACA"/>
    <w:rsid w:val="009D25D9"/>
    <w:rsid w:val="009D2EC1"/>
    <w:rsid w:val="009D4535"/>
    <w:rsid w:val="009D5D6D"/>
    <w:rsid w:val="009E0C17"/>
    <w:rsid w:val="009E1448"/>
    <w:rsid w:val="009E2D8C"/>
    <w:rsid w:val="009E318D"/>
    <w:rsid w:val="009E40F4"/>
    <w:rsid w:val="009E51AB"/>
    <w:rsid w:val="009E5E1E"/>
    <w:rsid w:val="009E6D7D"/>
    <w:rsid w:val="009E72C6"/>
    <w:rsid w:val="009F1348"/>
    <w:rsid w:val="009F1BE2"/>
    <w:rsid w:val="009F23DF"/>
    <w:rsid w:val="009F2C02"/>
    <w:rsid w:val="009F363C"/>
    <w:rsid w:val="009F3F4C"/>
    <w:rsid w:val="009F47E4"/>
    <w:rsid w:val="009F5349"/>
    <w:rsid w:val="009F5ABF"/>
    <w:rsid w:val="009F5D39"/>
    <w:rsid w:val="009F6E6F"/>
    <w:rsid w:val="009F704F"/>
    <w:rsid w:val="00A00047"/>
    <w:rsid w:val="00A00095"/>
    <w:rsid w:val="00A001C9"/>
    <w:rsid w:val="00A00CD9"/>
    <w:rsid w:val="00A0196D"/>
    <w:rsid w:val="00A01EB5"/>
    <w:rsid w:val="00A026EF"/>
    <w:rsid w:val="00A03A01"/>
    <w:rsid w:val="00A03A1A"/>
    <w:rsid w:val="00A103A8"/>
    <w:rsid w:val="00A10480"/>
    <w:rsid w:val="00A1118E"/>
    <w:rsid w:val="00A11CEE"/>
    <w:rsid w:val="00A1319B"/>
    <w:rsid w:val="00A13CB7"/>
    <w:rsid w:val="00A14260"/>
    <w:rsid w:val="00A155F5"/>
    <w:rsid w:val="00A16B5B"/>
    <w:rsid w:val="00A22630"/>
    <w:rsid w:val="00A22B01"/>
    <w:rsid w:val="00A236B7"/>
    <w:rsid w:val="00A24EE1"/>
    <w:rsid w:val="00A259D4"/>
    <w:rsid w:val="00A260CB"/>
    <w:rsid w:val="00A2616B"/>
    <w:rsid w:val="00A27215"/>
    <w:rsid w:val="00A30EF5"/>
    <w:rsid w:val="00A33222"/>
    <w:rsid w:val="00A33417"/>
    <w:rsid w:val="00A34F7B"/>
    <w:rsid w:val="00A37D9B"/>
    <w:rsid w:val="00A417FA"/>
    <w:rsid w:val="00A41BB4"/>
    <w:rsid w:val="00A447FB"/>
    <w:rsid w:val="00A46F9A"/>
    <w:rsid w:val="00A502AC"/>
    <w:rsid w:val="00A513FC"/>
    <w:rsid w:val="00A51799"/>
    <w:rsid w:val="00A51FDA"/>
    <w:rsid w:val="00A52133"/>
    <w:rsid w:val="00A52A2B"/>
    <w:rsid w:val="00A53760"/>
    <w:rsid w:val="00A53C51"/>
    <w:rsid w:val="00A54D2A"/>
    <w:rsid w:val="00A5509B"/>
    <w:rsid w:val="00A5537A"/>
    <w:rsid w:val="00A563D0"/>
    <w:rsid w:val="00A60A44"/>
    <w:rsid w:val="00A6175C"/>
    <w:rsid w:val="00A65014"/>
    <w:rsid w:val="00A65D58"/>
    <w:rsid w:val="00A6673A"/>
    <w:rsid w:val="00A66823"/>
    <w:rsid w:val="00A67644"/>
    <w:rsid w:val="00A679C2"/>
    <w:rsid w:val="00A70068"/>
    <w:rsid w:val="00A72E2E"/>
    <w:rsid w:val="00A72FBF"/>
    <w:rsid w:val="00A75227"/>
    <w:rsid w:val="00A75827"/>
    <w:rsid w:val="00A815F4"/>
    <w:rsid w:val="00A82E4E"/>
    <w:rsid w:val="00A8335A"/>
    <w:rsid w:val="00A84A0D"/>
    <w:rsid w:val="00A84B63"/>
    <w:rsid w:val="00A85720"/>
    <w:rsid w:val="00A85741"/>
    <w:rsid w:val="00A87019"/>
    <w:rsid w:val="00A90301"/>
    <w:rsid w:val="00A91714"/>
    <w:rsid w:val="00A91A95"/>
    <w:rsid w:val="00A92172"/>
    <w:rsid w:val="00A9466F"/>
    <w:rsid w:val="00A96501"/>
    <w:rsid w:val="00A97C8A"/>
    <w:rsid w:val="00AA07C9"/>
    <w:rsid w:val="00AA12E0"/>
    <w:rsid w:val="00AA17AF"/>
    <w:rsid w:val="00AA1E2A"/>
    <w:rsid w:val="00AA3D34"/>
    <w:rsid w:val="00AA615A"/>
    <w:rsid w:val="00AA649D"/>
    <w:rsid w:val="00AA6ACC"/>
    <w:rsid w:val="00AB038F"/>
    <w:rsid w:val="00AB0578"/>
    <w:rsid w:val="00AB0628"/>
    <w:rsid w:val="00AB0889"/>
    <w:rsid w:val="00AB1293"/>
    <w:rsid w:val="00AB22A5"/>
    <w:rsid w:val="00AB2334"/>
    <w:rsid w:val="00AB345D"/>
    <w:rsid w:val="00AB3F7A"/>
    <w:rsid w:val="00AB5CA1"/>
    <w:rsid w:val="00AB5CD3"/>
    <w:rsid w:val="00AB68A6"/>
    <w:rsid w:val="00AB6B0F"/>
    <w:rsid w:val="00AB7344"/>
    <w:rsid w:val="00AB7A98"/>
    <w:rsid w:val="00AB7E91"/>
    <w:rsid w:val="00AC0952"/>
    <w:rsid w:val="00AC1A92"/>
    <w:rsid w:val="00AC1FFF"/>
    <w:rsid w:val="00AC38BA"/>
    <w:rsid w:val="00AC3A8D"/>
    <w:rsid w:val="00AC3ABD"/>
    <w:rsid w:val="00AC5200"/>
    <w:rsid w:val="00AC646A"/>
    <w:rsid w:val="00AC6726"/>
    <w:rsid w:val="00AC781C"/>
    <w:rsid w:val="00AD06F6"/>
    <w:rsid w:val="00AD075C"/>
    <w:rsid w:val="00AD07DC"/>
    <w:rsid w:val="00AD1B70"/>
    <w:rsid w:val="00AD1C51"/>
    <w:rsid w:val="00AD22AB"/>
    <w:rsid w:val="00AD2368"/>
    <w:rsid w:val="00AD32D6"/>
    <w:rsid w:val="00AD36C5"/>
    <w:rsid w:val="00AD3D39"/>
    <w:rsid w:val="00AD4EDE"/>
    <w:rsid w:val="00AD54FA"/>
    <w:rsid w:val="00AD577A"/>
    <w:rsid w:val="00AD6FB2"/>
    <w:rsid w:val="00AD77F8"/>
    <w:rsid w:val="00AD7841"/>
    <w:rsid w:val="00AE0119"/>
    <w:rsid w:val="00AE1095"/>
    <w:rsid w:val="00AE1151"/>
    <w:rsid w:val="00AE16F0"/>
    <w:rsid w:val="00AE189A"/>
    <w:rsid w:val="00AE20AC"/>
    <w:rsid w:val="00AE2578"/>
    <w:rsid w:val="00AE3AA9"/>
    <w:rsid w:val="00AE465B"/>
    <w:rsid w:val="00AE4C4D"/>
    <w:rsid w:val="00AE6A87"/>
    <w:rsid w:val="00AE7803"/>
    <w:rsid w:val="00AF1030"/>
    <w:rsid w:val="00AF1CFD"/>
    <w:rsid w:val="00AF1E17"/>
    <w:rsid w:val="00AF2340"/>
    <w:rsid w:val="00AF24E0"/>
    <w:rsid w:val="00AF2598"/>
    <w:rsid w:val="00AF2EA6"/>
    <w:rsid w:val="00AF3B88"/>
    <w:rsid w:val="00AF4865"/>
    <w:rsid w:val="00AF52BD"/>
    <w:rsid w:val="00AF61F0"/>
    <w:rsid w:val="00B01145"/>
    <w:rsid w:val="00B011A4"/>
    <w:rsid w:val="00B01DC4"/>
    <w:rsid w:val="00B02C13"/>
    <w:rsid w:val="00B02D20"/>
    <w:rsid w:val="00B0323C"/>
    <w:rsid w:val="00B04A50"/>
    <w:rsid w:val="00B10640"/>
    <w:rsid w:val="00B10F26"/>
    <w:rsid w:val="00B158E3"/>
    <w:rsid w:val="00B16C91"/>
    <w:rsid w:val="00B16CBF"/>
    <w:rsid w:val="00B2291B"/>
    <w:rsid w:val="00B22E57"/>
    <w:rsid w:val="00B241B0"/>
    <w:rsid w:val="00B2427A"/>
    <w:rsid w:val="00B249D2"/>
    <w:rsid w:val="00B25B9B"/>
    <w:rsid w:val="00B25B9F"/>
    <w:rsid w:val="00B2608F"/>
    <w:rsid w:val="00B26E85"/>
    <w:rsid w:val="00B30835"/>
    <w:rsid w:val="00B31119"/>
    <w:rsid w:val="00B311C4"/>
    <w:rsid w:val="00B32DED"/>
    <w:rsid w:val="00B33089"/>
    <w:rsid w:val="00B335AB"/>
    <w:rsid w:val="00B3418B"/>
    <w:rsid w:val="00B34320"/>
    <w:rsid w:val="00B35967"/>
    <w:rsid w:val="00B35CE2"/>
    <w:rsid w:val="00B36FD1"/>
    <w:rsid w:val="00B37297"/>
    <w:rsid w:val="00B378B0"/>
    <w:rsid w:val="00B378C2"/>
    <w:rsid w:val="00B421F0"/>
    <w:rsid w:val="00B43A45"/>
    <w:rsid w:val="00B43CC7"/>
    <w:rsid w:val="00B44A23"/>
    <w:rsid w:val="00B44CDE"/>
    <w:rsid w:val="00B45D91"/>
    <w:rsid w:val="00B45E1D"/>
    <w:rsid w:val="00B47688"/>
    <w:rsid w:val="00B47AEC"/>
    <w:rsid w:val="00B503E0"/>
    <w:rsid w:val="00B53121"/>
    <w:rsid w:val="00B536EA"/>
    <w:rsid w:val="00B54166"/>
    <w:rsid w:val="00B5465B"/>
    <w:rsid w:val="00B54E24"/>
    <w:rsid w:val="00B5695D"/>
    <w:rsid w:val="00B60314"/>
    <w:rsid w:val="00B614AE"/>
    <w:rsid w:val="00B64275"/>
    <w:rsid w:val="00B642D8"/>
    <w:rsid w:val="00B66524"/>
    <w:rsid w:val="00B665D6"/>
    <w:rsid w:val="00B66D8A"/>
    <w:rsid w:val="00B674FF"/>
    <w:rsid w:val="00B6783D"/>
    <w:rsid w:val="00B67FFC"/>
    <w:rsid w:val="00B70791"/>
    <w:rsid w:val="00B7113D"/>
    <w:rsid w:val="00B71779"/>
    <w:rsid w:val="00B7220B"/>
    <w:rsid w:val="00B7380F"/>
    <w:rsid w:val="00B73C6E"/>
    <w:rsid w:val="00B7492B"/>
    <w:rsid w:val="00B75B5F"/>
    <w:rsid w:val="00B77621"/>
    <w:rsid w:val="00B77A8C"/>
    <w:rsid w:val="00B81765"/>
    <w:rsid w:val="00B828B4"/>
    <w:rsid w:val="00B8322B"/>
    <w:rsid w:val="00B839E8"/>
    <w:rsid w:val="00B83B6C"/>
    <w:rsid w:val="00B83D3D"/>
    <w:rsid w:val="00B853EC"/>
    <w:rsid w:val="00B87FAA"/>
    <w:rsid w:val="00B9186B"/>
    <w:rsid w:val="00B922A7"/>
    <w:rsid w:val="00B925E6"/>
    <w:rsid w:val="00B92938"/>
    <w:rsid w:val="00B94E32"/>
    <w:rsid w:val="00B95631"/>
    <w:rsid w:val="00B96128"/>
    <w:rsid w:val="00B96D3C"/>
    <w:rsid w:val="00B9740D"/>
    <w:rsid w:val="00B97BF2"/>
    <w:rsid w:val="00BA296D"/>
    <w:rsid w:val="00BA2A39"/>
    <w:rsid w:val="00BA3D4E"/>
    <w:rsid w:val="00BA47D1"/>
    <w:rsid w:val="00BA4EEF"/>
    <w:rsid w:val="00BA50CF"/>
    <w:rsid w:val="00BA5193"/>
    <w:rsid w:val="00BA5FAB"/>
    <w:rsid w:val="00BA70C1"/>
    <w:rsid w:val="00BB3420"/>
    <w:rsid w:val="00BB3A96"/>
    <w:rsid w:val="00BB77E0"/>
    <w:rsid w:val="00BB7EB2"/>
    <w:rsid w:val="00BC003B"/>
    <w:rsid w:val="00BC0524"/>
    <w:rsid w:val="00BC060C"/>
    <w:rsid w:val="00BC0721"/>
    <w:rsid w:val="00BC1EB2"/>
    <w:rsid w:val="00BC308D"/>
    <w:rsid w:val="00BC3525"/>
    <w:rsid w:val="00BC40E8"/>
    <w:rsid w:val="00BC686F"/>
    <w:rsid w:val="00BC77F9"/>
    <w:rsid w:val="00BD2E8A"/>
    <w:rsid w:val="00BD4F7E"/>
    <w:rsid w:val="00BD54BF"/>
    <w:rsid w:val="00BD5AF8"/>
    <w:rsid w:val="00BD762E"/>
    <w:rsid w:val="00BE077F"/>
    <w:rsid w:val="00BE0E44"/>
    <w:rsid w:val="00BE0F21"/>
    <w:rsid w:val="00BE11B4"/>
    <w:rsid w:val="00BE19D6"/>
    <w:rsid w:val="00BE35C2"/>
    <w:rsid w:val="00BE3F46"/>
    <w:rsid w:val="00BE4AEF"/>
    <w:rsid w:val="00BE5B81"/>
    <w:rsid w:val="00BE6091"/>
    <w:rsid w:val="00BE7E67"/>
    <w:rsid w:val="00BE7E7B"/>
    <w:rsid w:val="00BE7ED6"/>
    <w:rsid w:val="00BF03E3"/>
    <w:rsid w:val="00BF27DF"/>
    <w:rsid w:val="00BF4E2C"/>
    <w:rsid w:val="00BF4F64"/>
    <w:rsid w:val="00BF59D8"/>
    <w:rsid w:val="00BF61F5"/>
    <w:rsid w:val="00BF6E8B"/>
    <w:rsid w:val="00C026D4"/>
    <w:rsid w:val="00C03E2A"/>
    <w:rsid w:val="00C04E8D"/>
    <w:rsid w:val="00C054C8"/>
    <w:rsid w:val="00C0555F"/>
    <w:rsid w:val="00C06A33"/>
    <w:rsid w:val="00C10711"/>
    <w:rsid w:val="00C10E79"/>
    <w:rsid w:val="00C131EB"/>
    <w:rsid w:val="00C1367E"/>
    <w:rsid w:val="00C13899"/>
    <w:rsid w:val="00C139F9"/>
    <w:rsid w:val="00C1461E"/>
    <w:rsid w:val="00C14649"/>
    <w:rsid w:val="00C16954"/>
    <w:rsid w:val="00C175F9"/>
    <w:rsid w:val="00C20BC3"/>
    <w:rsid w:val="00C22865"/>
    <w:rsid w:val="00C23B4C"/>
    <w:rsid w:val="00C24326"/>
    <w:rsid w:val="00C25210"/>
    <w:rsid w:val="00C25684"/>
    <w:rsid w:val="00C256DD"/>
    <w:rsid w:val="00C26C3A"/>
    <w:rsid w:val="00C26E7A"/>
    <w:rsid w:val="00C302D5"/>
    <w:rsid w:val="00C32A20"/>
    <w:rsid w:val="00C34F4C"/>
    <w:rsid w:val="00C3502D"/>
    <w:rsid w:val="00C364A4"/>
    <w:rsid w:val="00C36D81"/>
    <w:rsid w:val="00C36F6D"/>
    <w:rsid w:val="00C40F57"/>
    <w:rsid w:val="00C415C9"/>
    <w:rsid w:val="00C42BBD"/>
    <w:rsid w:val="00C4420C"/>
    <w:rsid w:val="00C4422C"/>
    <w:rsid w:val="00C47DD9"/>
    <w:rsid w:val="00C506B4"/>
    <w:rsid w:val="00C51668"/>
    <w:rsid w:val="00C52741"/>
    <w:rsid w:val="00C52808"/>
    <w:rsid w:val="00C54979"/>
    <w:rsid w:val="00C54CD0"/>
    <w:rsid w:val="00C56D3A"/>
    <w:rsid w:val="00C60E83"/>
    <w:rsid w:val="00C6148C"/>
    <w:rsid w:val="00C63244"/>
    <w:rsid w:val="00C63D51"/>
    <w:rsid w:val="00C65A2D"/>
    <w:rsid w:val="00C65AEB"/>
    <w:rsid w:val="00C66359"/>
    <w:rsid w:val="00C666F6"/>
    <w:rsid w:val="00C66F28"/>
    <w:rsid w:val="00C67CBA"/>
    <w:rsid w:val="00C70878"/>
    <w:rsid w:val="00C70F8B"/>
    <w:rsid w:val="00C75FC1"/>
    <w:rsid w:val="00C775A7"/>
    <w:rsid w:val="00C777BC"/>
    <w:rsid w:val="00C77E5C"/>
    <w:rsid w:val="00C80251"/>
    <w:rsid w:val="00C81BBE"/>
    <w:rsid w:val="00C82ED7"/>
    <w:rsid w:val="00C83004"/>
    <w:rsid w:val="00C832BC"/>
    <w:rsid w:val="00C84978"/>
    <w:rsid w:val="00C84FAB"/>
    <w:rsid w:val="00C85F7E"/>
    <w:rsid w:val="00C8640E"/>
    <w:rsid w:val="00C86735"/>
    <w:rsid w:val="00C86809"/>
    <w:rsid w:val="00C90D99"/>
    <w:rsid w:val="00C93876"/>
    <w:rsid w:val="00C95A1B"/>
    <w:rsid w:val="00C95D7A"/>
    <w:rsid w:val="00C979CE"/>
    <w:rsid w:val="00C97FC0"/>
    <w:rsid w:val="00CA01F9"/>
    <w:rsid w:val="00CA03AF"/>
    <w:rsid w:val="00CA1FA6"/>
    <w:rsid w:val="00CA2DE4"/>
    <w:rsid w:val="00CA468F"/>
    <w:rsid w:val="00CA59E9"/>
    <w:rsid w:val="00CA5DFB"/>
    <w:rsid w:val="00CA6E2B"/>
    <w:rsid w:val="00CA7F7B"/>
    <w:rsid w:val="00CB092E"/>
    <w:rsid w:val="00CB23F6"/>
    <w:rsid w:val="00CB30A9"/>
    <w:rsid w:val="00CB369A"/>
    <w:rsid w:val="00CB3C1C"/>
    <w:rsid w:val="00CB47C8"/>
    <w:rsid w:val="00CB48DC"/>
    <w:rsid w:val="00CB675A"/>
    <w:rsid w:val="00CB79B3"/>
    <w:rsid w:val="00CC2F65"/>
    <w:rsid w:val="00CC3151"/>
    <w:rsid w:val="00CC3979"/>
    <w:rsid w:val="00CC3F30"/>
    <w:rsid w:val="00CC42B9"/>
    <w:rsid w:val="00CC510F"/>
    <w:rsid w:val="00CC59A6"/>
    <w:rsid w:val="00CC67DB"/>
    <w:rsid w:val="00CC70B0"/>
    <w:rsid w:val="00CC7AAB"/>
    <w:rsid w:val="00CD0926"/>
    <w:rsid w:val="00CD24E0"/>
    <w:rsid w:val="00CD2DB5"/>
    <w:rsid w:val="00CD4B8B"/>
    <w:rsid w:val="00CD50BB"/>
    <w:rsid w:val="00CD5593"/>
    <w:rsid w:val="00CD64C0"/>
    <w:rsid w:val="00CD7AD4"/>
    <w:rsid w:val="00CD7CC0"/>
    <w:rsid w:val="00CE0C2C"/>
    <w:rsid w:val="00CE2112"/>
    <w:rsid w:val="00CE3D11"/>
    <w:rsid w:val="00CE67C1"/>
    <w:rsid w:val="00CE74B1"/>
    <w:rsid w:val="00CE75A4"/>
    <w:rsid w:val="00CF0A9D"/>
    <w:rsid w:val="00CF1785"/>
    <w:rsid w:val="00CF295C"/>
    <w:rsid w:val="00CF2EDC"/>
    <w:rsid w:val="00CF35D2"/>
    <w:rsid w:val="00CF5620"/>
    <w:rsid w:val="00CF625D"/>
    <w:rsid w:val="00D00482"/>
    <w:rsid w:val="00D012C8"/>
    <w:rsid w:val="00D058CB"/>
    <w:rsid w:val="00D05CC6"/>
    <w:rsid w:val="00D05D57"/>
    <w:rsid w:val="00D05EA7"/>
    <w:rsid w:val="00D104C2"/>
    <w:rsid w:val="00D1402E"/>
    <w:rsid w:val="00D14AE3"/>
    <w:rsid w:val="00D15FE8"/>
    <w:rsid w:val="00D16067"/>
    <w:rsid w:val="00D20391"/>
    <w:rsid w:val="00D221FC"/>
    <w:rsid w:val="00D25B2E"/>
    <w:rsid w:val="00D26B2F"/>
    <w:rsid w:val="00D276B4"/>
    <w:rsid w:val="00D31055"/>
    <w:rsid w:val="00D325CF"/>
    <w:rsid w:val="00D32841"/>
    <w:rsid w:val="00D32CB0"/>
    <w:rsid w:val="00D347DD"/>
    <w:rsid w:val="00D37306"/>
    <w:rsid w:val="00D40991"/>
    <w:rsid w:val="00D40F05"/>
    <w:rsid w:val="00D430C9"/>
    <w:rsid w:val="00D4385E"/>
    <w:rsid w:val="00D45816"/>
    <w:rsid w:val="00D45E4A"/>
    <w:rsid w:val="00D460B1"/>
    <w:rsid w:val="00D46C56"/>
    <w:rsid w:val="00D505AB"/>
    <w:rsid w:val="00D526BE"/>
    <w:rsid w:val="00D5412F"/>
    <w:rsid w:val="00D55124"/>
    <w:rsid w:val="00D561A6"/>
    <w:rsid w:val="00D56F3E"/>
    <w:rsid w:val="00D60227"/>
    <w:rsid w:val="00D6185D"/>
    <w:rsid w:val="00D62127"/>
    <w:rsid w:val="00D62C11"/>
    <w:rsid w:val="00D63459"/>
    <w:rsid w:val="00D64F47"/>
    <w:rsid w:val="00D65C21"/>
    <w:rsid w:val="00D664C6"/>
    <w:rsid w:val="00D66D7C"/>
    <w:rsid w:val="00D6757D"/>
    <w:rsid w:val="00D6761C"/>
    <w:rsid w:val="00D73240"/>
    <w:rsid w:val="00D7402A"/>
    <w:rsid w:val="00D747D6"/>
    <w:rsid w:val="00D75156"/>
    <w:rsid w:val="00D75C9B"/>
    <w:rsid w:val="00D76C26"/>
    <w:rsid w:val="00D76E40"/>
    <w:rsid w:val="00D7714D"/>
    <w:rsid w:val="00D773C1"/>
    <w:rsid w:val="00D8154B"/>
    <w:rsid w:val="00D8176E"/>
    <w:rsid w:val="00D82137"/>
    <w:rsid w:val="00D82BD5"/>
    <w:rsid w:val="00D8477F"/>
    <w:rsid w:val="00D852BE"/>
    <w:rsid w:val="00D85618"/>
    <w:rsid w:val="00D85F70"/>
    <w:rsid w:val="00D86BF7"/>
    <w:rsid w:val="00D9087D"/>
    <w:rsid w:val="00D913A3"/>
    <w:rsid w:val="00D91C4A"/>
    <w:rsid w:val="00D929C0"/>
    <w:rsid w:val="00D9300C"/>
    <w:rsid w:val="00D930A9"/>
    <w:rsid w:val="00D97533"/>
    <w:rsid w:val="00D9786B"/>
    <w:rsid w:val="00DA22E6"/>
    <w:rsid w:val="00DA2B40"/>
    <w:rsid w:val="00DB0787"/>
    <w:rsid w:val="00DB1912"/>
    <w:rsid w:val="00DB30C8"/>
    <w:rsid w:val="00DB3988"/>
    <w:rsid w:val="00DB3B47"/>
    <w:rsid w:val="00DB4639"/>
    <w:rsid w:val="00DB5612"/>
    <w:rsid w:val="00DB5BB5"/>
    <w:rsid w:val="00DB712C"/>
    <w:rsid w:val="00DB7A13"/>
    <w:rsid w:val="00DC0297"/>
    <w:rsid w:val="00DC02B0"/>
    <w:rsid w:val="00DC0C0E"/>
    <w:rsid w:val="00DC0D17"/>
    <w:rsid w:val="00DC1FD4"/>
    <w:rsid w:val="00DC23FD"/>
    <w:rsid w:val="00DC2E0A"/>
    <w:rsid w:val="00DC4458"/>
    <w:rsid w:val="00DC49C6"/>
    <w:rsid w:val="00DC4AD6"/>
    <w:rsid w:val="00DC6638"/>
    <w:rsid w:val="00DD1197"/>
    <w:rsid w:val="00DD13AE"/>
    <w:rsid w:val="00DD2A50"/>
    <w:rsid w:val="00DD5F9C"/>
    <w:rsid w:val="00DD6CE3"/>
    <w:rsid w:val="00DD7E48"/>
    <w:rsid w:val="00DE192D"/>
    <w:rsid w:val="00DE2DFD"/>
    <w:rsid w:val="00DE35B2"/>
    <w:rsid w:val="00DE3FC0"/>
    <w:rsid w:val="00DE4046"/>
    <w:rsid w:val="00DE4773"/>
    <w:rsid w:val="00DE4ADD"/>
    <w:rsid w:val="00DE6373"/>
    <w:rsid w:val="00DE7318"/>
    <w:rsid w:val="00DE7FB8"/>
    <w:rsid w:val="00DF03C9"/>
    <w:rsid w:val="00DF04FD"/>
    <w:rsid w:val="00DF0929"/>
    <w:rsid w:val="00DF09DE"/>
    <w:rsid w:val="00DF1547"/>
    <w:rsid w:val="00DF1C20"/>
    <w:rsid w:val="00DF44C0"/>
    <w:rsid w:val="00DF4B58"/>
    <w:rsid w:val="00DF5F2A"/>
    <w:rsid w:val="00DF62B8"/>
    <w:rsid w:val="00DF6A6E"/>
    <w:rsid w:val="00DF6AB0"/>
    <w:rsid w:val="00DF7F63"/>
    <w:rsid w:val="00E01C4E"/>
    <w:rsid w:val="00E02466"/>
    <w:rsid w:val="00E0356E"/>
    <w:rsid w:val="00E055A1"/>
    <w:rsid w:val="00E060A8"/>
    <w:rsid w:val="00E066F1"/>
    <w:rsid w:val="00E07168"/>
    <w:rsid w:val="00E07D87"/>
    <w:rsid w:val="00E07FB8"/>
    <w:rsid w:val="00E10C16"/>
    <w:rsid w:val="00E13027"/>
    <w:rsid w:val="00E1408C"/>
    <w:rsid w:val="00E143FB"/>
    <w:rsid w:val="00E167AA"/>
    <w:rsid w:val="00E17552"/>
    <w:rsid w:val="00E21E43"/>
    <w:rsid w:val="00E22A98"/>
    <w:rsid w:val="00E22E23"/>
    <w:rsid w:val="00E23244"/>
    <w:rsid w:val="00E23FC5"/>
    <w:rsid w:val="00E24206"/>
    <w:rsid w:val="00E25651"/>
    <w:rsid w:val="00E25C28"/>
    <w:rsid w:val="00E32262"/>
    <w:rsid w:val="00E33FC9"/>
    <w:rsid w:val="00E34530"/>
    <w:rsid w:val="00E34A0D"/>
    <w:rsid w:val="00E34DCD"/>
    <w:rsid w:val="00E35FC9"/>
    <w:rsid w:val="00E3693B"/>
    <w:rsid w:val="00E36C61"/>
    <w:rsid w:val="00E36CE8"/>
    <w:rsid w:val="00E401E3"/>
    <w:rsid w:val="00E40E06"/>
    <w:rsid w:val="00E42D8B"/>
    <w:rsid w:val="00E42E4E"/>
    <w:rsid w:val="00E43632"/>
    <w:rsid w:val="00E44545"/>
    <w:rsid w:val="00E44ABA"/>
    <w:rsid w:val="00E44E57"/>
    <w:rsid w:val="00E45116"/>
    <w:rsid w:val="00E4543D"/>
    <w:rsid w:val="00E4565E"/>
    <w:rsid w:val="00E45F04"/>
    <w:rsid w:val="00E46785"/>
    <w:rsid w:val="00E5003B"/>
    <w:rsid w:val="00E501A1"/>
    <w:rsid w:val="00E50394"/>
    <w:rsid w:val="00E50828"/>
    <w:rsid w:val="00E5119A"/>
    <w:rsid w:val="00E5236A"/>
    <w:rsid w:val="00E5407F"/>
    <w:rsid w:val="00E54173"/>
    <w:rsid w:val="00E543DE"/>
    <w:rsid w:val="00E54C55"/>
    <w:rsid w:val="00E54EB5"/>
    <w:rsid w:val="00E56198"/>
    <w:rsid w:val="00E56A9B"/>
    <w:rsid w:val="00E60F45"/>
    <w:rsid w:val="00E6307F"/>
    <w:rsid w:val="00E635A3"/>
    <w:rsid w:val="00E65EEC"/>
    <w:rsid w:val="00E6746B"/>
    <w:rsid w:val="00E67EA8"/>
    <w:rsid w:val="00E7049A"/>
    <w:rsid w:val="00E71D89"/>
    <w:rsid w:val="00E721A8"/>
    <w:rsid w:val="00E72B82"/>
    <w:rsid w:val="00E733CA"/>
    <w:rsid w:val="00E7367F"/>
    <w:rsid w:val="00E73A21"/>
    <w:rsid w:val="00E73D9A"/>
    <w:rsid w:val="00E74F6E"/>
    <w:rsid w:val="00E76E29"/>
    <w:rsid w:val="00E77E6E"/>
    <w:rsid w:val="00E802BD"/>
    <w:rsid w:val="00E81266"/>
    <w:rsid w:val="00E81BB3"/>
    <w:rsid w:val="00E81C32"/>
    <w:rsid w:val="00E829F0"/>
    <w:rsid w:val="00E83624"/>
    <w:rsid w:val="00E8571A"/>
    <w:rsid w:val="00E878D8"/>
    <w:rsid w:val="00E90847"/>
    <w:rsid w:val="00E91418"/>
    <w:rsid w:val="00E91F19"/>
    <w:rsid w:val="00E930D0"/>
    <w:rsid w:val="00E93ECB"/>
    <w:rsid w:val="00E94239"/>
    <w:rsid w:val="00E9482A"/>
    <w:rsid w:val="00E95551"/>
    <w:rsid w:val="00E969DA"/>
    <w:rsid w:val="00E97004"/>
    <w:rsid w:val="00EA0BE2"/>
    <w:rsid w:val="00EA14CD"/>
    <w:rsid w:val="00EA305B"/>
    <w:rsid w:val="00EA3D18"/>
    <w:rsid w:val="00EA5288"/>
    <w:rsid w:val="00EA52A1"/>
    <w:rsid w:val="00EA54CF"/>
    <w:rsid w:val="00EA5DD5"/>
    <w:rsid w:val="00EB0431"/>
    <w:rsid w:val="00EB2838"/>
    <w:rsid w:val="00EB296F"/>
    <w:rsid w:val="00EB2EB3"/>
    <w:rsid w:val="00EB4D7D"/>
    <w:rsid w:val="00EB5258"/>
    <w:rsid w:val="00EB57A4"/>
    <w:rsid w:val="00EB6120"/>
    <w:rsid w:val="00EB739A"/>
    <w:rsid w:val="00EC0A27"/>
    <w:rsid w:val="00EC154A"/>
    <w:rsid w:val="00EC281E"/>
    <w:rsid w:val="00EC357B"/>
    <w:rsid w:val="00EC3F73"/>
    <w:rsid w:val="00EC6874"/>
    <w:rsid w:val="00ED0F56"/>
    <w:rsid w:val="00ED1FA4"/>
    <w:rsid w:val="00ED41CD"/>
    <w:rsid w:val="00ED4A87"/>
    <w:rsid w:val="00ED502D"/>
    <w:rsid w:val="00ED52F8"/>
    <w:rsid w:val="00ED6932"/>
    <w:rsid w:val="00ED7107"/>
    <w:rsid w:val="00ED76D7"/>
    <w:rsid w:val="00ED79EE"/>
    <w:rsid w:val="00ED7A3B"/>
    <w:rsid w:val="00ED7C74"/>
    <w:rsid w:val="00EE0FFF"/>
    <w:rsid w:val="00EE3879"/>
    <w:rsid w:val="00EE5477"/>
    <w:rsid w:val="00EE5B6E"/>
    <w:rsid w:val="00EF117B"/>
    <w:rsid w:val="00EF1DB3"/>
    <w:rsid w:val="00EF2A21"/>
    <w:rsid w:val="00EF3877"/>
    <w:rsid w:val="00EF414C"/>
    <w:rsid w:val="00F00FBC"/>
    <w:rsid w:val="00F01A63"/>
    <w:rsid w:val="00F02624"/>
    <w:rsid w:val="00F02E4B"/>
    <w:rsid w:val="00F05F8A"/>
    <w:rsid w:val="00F0661A"/>
    <w:rsid w:val="00F06825"/>
    <w:rsid w:val="00F1012B"/>
    <w:rsid w:val="00F10193"/>
    <w:rsid w:val="00F10397"/>
    <w:rsid w:val="00F10593"/>
    <w:rsid w:val="00F11337"/>
    <w:rsid w:val="00F161F5"/>
    <w:rsid w:val="00F16525"/>
    <w:rsid w:val="00F228FD"/>
    <w:rsid w:val="00F22FB5"/>
    <w:rsid w:val="00F25C0D"/>
    <w:rsid w:val="00F270EA"/>
    <w:rsid w:val="00F27F09"/>
    <w:rsid w:val="00F302BC"/>
    <w:rsid w:val="00F3050C"/>
    <w:rsid w:val="00F32BDE"/>
    <w:rsid w:val="00F32D90"/>
    <w:rsid w:val="00F32E18"/>
    <w:rsid w:val="00F32EB2"/>
    <w:rsid w:val="00F35C53"/>
    <w:rsid w:val="00F365F1"/>
    <w:rsid w:val="00F3677E"/>
    <w:rsid w:val="00F36999"/>
    <w:rsid w:val="00F37826"/>
    <w:rsid w:val="00F44217"/>
    <w:rsid w:val="00F443BF"/>
    <w:rsid w:val="00F4451C"/>
    <w:rsid w:val="00F460D3"/>
    <w:rsid w:val="00F47BC3"/>
    <w:rsid w:val="00F47EC7"/>
    <w:rsid w:val="00F51A16"/>
    <w:rsid w:val="00F523FA"/>
    <w:rsid w:val="00F52983"/>
    <w:rsid w:val="00F52F22"/>
    <w:rsid w:val="00F53995"/>
    <w:rsid w:val="00F55ACE"/>
    <w:rsid w:val="00F579DD"/>
    <w:rsid w:val="00F60010"/>
    <w:rsid w:val="00F6251C"/>
    <w:rsid w:val="00F63077"/>
    <w:rsid w:val="00F64090"/>
    <w:rsid w:val="00F6481F"/>
    <w:rsid w:val="00F65AB3"/>
    <w:rsid w:val="00F65CCD"/>
    <w:rsid w:val="00F665FA"/>
    <w:rsid w:val="00F66E00"/>
    <w:rsid w:val="00F6761B"/>
    <w:rsid w:val="00F7160C"/>
    <w:rsid w:val="00F72381"/>
    <w:rsid w:val="00F73502"/>
    <w:rsid w:val="00F74FA9"/>
    <w:rsid w:val="00F758BA"/>
    <w:rsid w:val="00F77F16"/>
    <w:rsid w:val="00F83265"/>
    <w:rsid w:val="00F8354A"/>
    <w:rsid w:val="00F84992"/>
    <w:rsid w:val="00F85543"/>
    <w:rsid w:val="00F86DD0"/>
    <w:rsid w:val="00F86ECD"/>
    <w:rsid w:val="00F86F51"/>
    <w:rsid w:val="00F871B7"/>
    <w:rsid w:val="00F92038"/>
    <w:rsid w:val="00F92227"/>
    <w:rsid w:val="00F92368"/>
    <w:rsid w:val="00F9279A"/>
    <w:rsid w:val="00F9348C"/>
    <w:rsid w:val="00F93591"/>
    <w:rsid w:val="00F93836"/>
    <w:rsid w:val="00F9480A"/>
    <w:rsid w:val="00F94901"/>
    <w:rsid w:val="00F94ACC"/>
    <w:rsid w:val="00F95E2A"/>
    <w:rsid w:val="00FA08A1"/>
    <w:rsid w:val="00FA253F"/>
    <w:rsid w:val="00FA2B37"/>
    <w:rsid w:val="00FA33DB"/>
    <w:rsid w:val="00FA36EB"/>
    <w:rsid w:val="00FA3C18"/>
    <w:rsid w:val="00FA3E59"/>
    <w:rsid w:val="00FA57B4"/>
    <w:rsid w:val="00FA589D"/>
    <w:rsid w:val="00FA6B0A"/>
    <w:rsid w:val="00FA6C2B"/>
    <w:rsid w:val="00FA7FA3"/>
    <w:rsid w:val="00FB32CD"/>
    <w:rsid w:val="00FB469C"/>
    <w:rsid w:val="00FB4D68"/>
    <w:rsid w:val="00FC0141"/>
    <w:rsid w:val="00FC0FBC"/>
    <w:rsid w:val="00FC1116"/>
    <w:rsid w:val="00FC1625"/>
    <w:rsid w:val="00FC298D"/>
    <w:rsid w:val="00FC2BBF"/>
    <w:rsid w:val="00FC3AE5"/>
    <w:rsid w:val="00FC4002"/>
    <w:rsid w:val="00FC4FBC"/>
    <w:rsid w:val="00FC5DB4"/>
    <w:rsid w:val="00FC6F4D"/>
    <w:rsid w:val="00FD0B2D"/>
    <w:rsid w:val="00FD0C6E"/>
    <w:rsid w:val="00FD29F5"/>
    <w:rsid w:val="00FD2ACF"/>
    <w:rsid w:val="00FD2B1F"/>
    <w:rsid w:val="00FD3124"/>
    <w:rsid w:val="00FD32EA"/>
    <w:rsid w:val="00FD4662"/>
    <w:rsid w:val="00FD4B16"/>
    <w:rsid w:val="00FD5240"/>
    <w:rsid w:val="00FD5D28"/>
    <w:rsid w:val="00FD5EC8"/>
    <w:rsid w:val="00FD720C"/>
    <w:rsid w:val="00FD7367"/>
    <w:rsid w:val="00FD73FA"/>
    <w:rsid w:val="00FE0754"/>
    <w:rsid w:val="00FE07E5"/>
    <w:rsid w:val="00FE2566"/>
    <w:rsid w:val="00FE2FE8"/>
    <w:rsid w:val="00FE309A"/>
    <w:rsid w:val="00FE370E"/>
    <w:rsid w:val="00FE4DA1"/>
    <w:rsid w:val="00FE4E13"/>
    <w:rsid w:val="00FE5B34"/>
    <w:rsid w:val="00FE615C"/>
    <w:rsid w:val="00FE6638"/>
    <w:rsid w:val="00FE6CF1"/>
    <w:rsid w:val="00FF0049"/>
    <w:rsid w:val="00FF0824"/>
    <w:rsid w:val="00FF0BB7"/>
    <w:rsid w:val="00FF15F3"/>
    <w:rsid w:val="00FF1994"/>
    <w:rsid w:val="00FF19D2"/>
    <w:rsid w:val="00FF3181"/>
    <w:rsid w:val="00FF32D9"/>
    <w:rsid w:val="00FF3379"/>
    <w:rsid w:val="00FF3720"/>
    <w:rsid w:val="00FF403E"/>
    <w:rsid w:val="00FF7FC3"/>
    <w:rsid w:val="0278F732"/>
    <w:rsid w:val="0311A105"/>
    <w:rsid w:val="03EB6B25"/>
    <w:rsid w:val="042CFBC9"/>
    <w:rsid w:val="06E75286"/>
    <w:rsid w:val="072AAB66"/>
    <w:rsid w:val="083B8CB0"/>
    <w:rsid w:val="09489419"/>
    <w:rsid w:val="0C3EE5B6"/>
    <w:rsid w:val="0D72EF55"/>
    <w:rsid w:val="0D833564"/>
    <w:rsid w:val="0E0189BA"/>
    <w:rsid w:val="0E39F1B0"/>
    <w:rsid w:val="0E689E61"/>
    <w:rsid w:val="0E983765"/>
    <w:rsid w:val="105F4727"/>
    <w:rsid w:val="1153FA25"/>
    <w:rsid w:val="1206D539"/>
    <w:rsid w:val="12F5160A"/>
    <w:rsid w:val="148D7816"/>
    <w:rsid w:val="168181FB"/>
    <w:rsid w:val="19ED2C55"/>
    <w:rsid w:val="1B9A382A"/>
    <w:rsid w:val="1F4ADF28"/>
    <w:rsid w:val="202432F9"/>
    <w:rsid w:val="238D9995"/>
    <w:rsid w:val="2A733B03"/>
    <w:rsid w:val="2A831463"/>
    <w:rsid w:val="2DDB88AF"/>
    <w:rsid w:val="315520D4"/>
    <w:rsid w:val="3523C1B7"/>
    <w:rsid w:val="371BD1C8"/>
    <w:rsid w:val="3A0EC660"/>
    <w:rsid w:val="3AD43B14"/>
    <w:rsid w:val="4020F427"/>
    <w:rsid w:val="4058431E"/>
    <w:rsid w:val="4167037D"/>
    <w:rsid w:val="44AA8324"/>
    <w:rsid w:val="46DD9F5D"/>
    <w:rsid w:val="4CF23715"/>
    <w:rsid w:val="4CFE3C24"/>
    <w:rsid w:val="4D29560B"/>
    <w:rsid w:val="4DCD985F"/>
    <w:rsid w:val="4E79D0EB"/>
    <w:rsid w:val="4E9C648C"/>
    <w:rsid w:val="4F0B66F7"/>
    <w:rsid w:val="4F46E19A"/>
    <w:rsid w:val="5525C165"/>
    <w:rsid w:val="55922C7F"/>
    <w:rsid w:val="56B80FE7"/>
    <w:rsid w:val="592B2D60"/>
    <w:rsid w:val="59682DCD"/>
    <w:rsid w:val="597AB971"/>
    <w:rsid w:val="5BD298BD"/>
    <w:rsid w:val="5C24B871"/>
    <w:rsid w:val="5D633165"/>
    <w:rsid w:val="60D32F89"/>
    <w:rsid w:val="61BC5B56"/>
    <w:rsid w:val="654D209E"/>
    <w:rsid w:val="6623499D"/>
    <w:rsid w:val="66F13438"/>
    <w:rsid w:val="68CD0D5F"/>
    <w:rsid w:val="6B3A526B"/>
    <w:rsid w:val="6C42D1CB"/>
    <w:rsid w:val="6DAC5E1E"/>
    <w:rsid w:val="73040C87"/>
    <w:rsid w:val="759A9BC6"/>
    <w:rsid w:val="77FCCA12"/>
    <w:rsid w:val="78074898"/>
    <w:rsid w:val="7A799E9A"/>
    <w:rsid w:val="7E9569A1"/>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540C"/>
  <w15:chartTrackingRefBased/>
  <w15:docId w15:val="{55775220-DB96-499D-B4C2-DA6CDB7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0EF"/>
    <w:rPr>
      <w:rFonts w:ascii="Arial" w:hAnsi="Arial"/>
      <w:szCs w:val="22"/>
      <w:lang w:eastAsia="en-US"/>
    </w:rPr>
  </w:style>
  <w:style w:type="paragraph" w:styleId="Naslov1">
    <w:name w:val="heading 1"/>
    <w:basedOn w:val="Normal"/>
    <w:next w:val="Normal"/>
    <w:link w:val="Naslov1Char"/>
    <w:uiPriority w:val="9"/>
    <w:qFormat/>
    <w:rsid w:val="009007F4"/>
    <w:pPr>
      <w:keepNext/>
      <w:keepLines/>
      <w:spacing w:before="240"/>
      <w:outlineLvl w:val="0"/>
    </w:pPr>
    <w:rPr>
      <w:rFonts w:eastAsiaTheme="majorEastAsia" w:cstheme="majorBidi"/>
      <w:b/>
      <w:sz w:val="24"/>
      <w:szCs w:val="32"/>
    </w:rPr>
  </w:style>
  <w:style w:type="paragraph" w:styleId="Naslov2">
    <w:name w:val="heading 2"/>
    <w:basedOn w:val="Normal"/>
    <w:next w:val="Normal"/>
    <w:link w:val="Naslov2Char"/>
    <w:uiPriority w:val="9"/>
    <w:semiHidden/>
    <w:unhideWhenUsed/>
    <w:qFormat/>
    <w:rsid w:val="005468FA"/>
    <w:pPr>
      <w:keepNext/>
      <w:keepLines/>
      <w:spacing w:before="120" w:after="120"/>
      <w:jc w:val="both"/>
      <w:outlineLvl w:val="1"/>
    </w:pPr>
    <w:rPr>
      <w:rFonts w:eastAsiaTheme="majorEastAsia" w:cstheme="majorBidi"/>
      <w:b/>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27841"/>
    <w:rPr>
      <w:rFonts w:ascii="Tahoma" w:hAnsi="Tahoma" w:cs="Tahoma"/>
      <w:sz w:val="16"/>
      <w:szCs w:val="16"/>
    </w:rPr>
  </w:style>
  <w:style w:type="character" w:customStyle="1" w:styleId="TekstbaloniaChar">
    <w:name w:val="Tekst balončića Char"/>
    <w:link w:val="Tekstbalonia"/>
    <w:uiPriority w:val="99"/>
    <w:semiHidden/>
    <w:rsid w:val="00327841"/>
    <w:rPr>
      <w:rFonts w:ascii="Tahoma" w:hAnsi="Tahoma" w:cs="Tahoma"/>
      <w:sz w:val="16"/>
      <w:szCs w:val="16"/>
    </w:rPr>
  </w:style>
  <w:style w:type="table" w:styleId="Reetkatablice">
    <w:name w:val="Table Grid"/>
    <w:basedOn w:val="Obinatablica"/>
    <w:uiPriority w:val="39"/>
    <w:rsid w:val="00212C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aglavlje">
    <w:name w:val="header"/>
    <w:basedOn w:val="Normal"/>
    <w:link w:val="ZaglavljeChar"/>
    <w:uiPriority w:val="99"/>
    <w:unhideWhenUsed/>
    <w:rsid w:val="006372FA"/>
    <w:pPr>
      <w:tabs>
        <w:tab w:val="center" w:pos="4536"/>
        <w:tab w:val="right" w:pos="9072"/>
      </w:tabs>
    </w:pPr>
  </w:style>
  <w:style w:type="character" w:customStyle="1" w:styleId="ZaglavljeChar">
    <w:name w:val="Zaglavlje Char"/>
    <w:link w:val="Zaglavlje"/>
    <w:uiPriority w:val="99"/>
    <w:rsid w:val="006372FA"/>
    <w:rPr>
      <w:rFonts w:ascii="Arial" w:hAnsi="Arial"/>
      <w:szCs w:val="22"/>
      <w:lang w:eastAsia="en-US"/>
    </w:rPr>
  </w:style>
  <w:style w:type="paragraph" w:styleId="Podnoje">
    <w:name w:val="footer"/>
    <w:basedOn w:val="Normal"/>
    <w:link w:val="PodnojeChar"/>
    <w:uiPriority w:val="99"/>
    <w:unhideWhenUsed/>
    <w:rsid w:val="006372FA"/>
    <w:pPr>
      <w:tabs>
        <w:tab w:val="center" w:pos="4536"/>
        <w:tab w:val="right" w:pos="9072"/>
      </w:tabs>
    </w:pPr>
  </w:style>
  <w:style w:type="character" w:customStyle="1" w:styleId="PodnojeChar">
    <w:name w:val="Podnožje Char"/>
    <w:link w:val="Podnoje"/>
    <w:uiPriority w:val="99"/>
    <w:rsid w:val="006372FA"/>
    <w:rPr>
      <w:rFonts w:ascii="Arial" w:hAnsi="Arial"/>
      <w:szCs w:val="22"/>
      <w:lang w:eastAsia="en-US"/>
    </w:rPr>
  </w:style>
  <w:style w:type="character" w:customStyle="1" w:styleId="Naslov1Char">
    <w:name w:val="Naslov 1 Char"/>
    <w:basedOn w:val="Zadanifontodlomka"/>
    <w:link w:val="Naslov1"/>
    <w:uiPriority w:val="9"/>
    <w:rsid w:val="009007F4"/>
    <w:rPr>
      <w:rFonts w:ascii="Arial" w:eastAsiaTheme="majorEastAsia" w:hAnsi="Arial" w:cstheme="majorBidi"/>
      <w:b/>
      <w:sz w:val="24"/>
      <w:szCs w:val="32"/>
      <w:lang w:eastAsia="en-US"/>
    </w:rPr>
  </w:style>
  <w:style w:type="paragraph" w:styleId="TOCNaslov">
    <w:name w:val="TOC Heading"/>
    <w:basedOn w:val="Naslov1"/>
    <w:next w:val="Normal"/>
    <w:uiPriority w:val="39"/>
    <w:unhideWhenUsed/>
    <w:qFormat/>
    <w:rsid w:val="009007F4"/>
    <w:pPr>
      <w:spacing w:line="259" w:lineRule="auto"/>
      <w:outlineLvl w:val="9"/>
    </w:pPr>
    <w:rPr>
      <w:rFonts w:asciiTheme="majorHAnsi" w:hAnsiTheme="majorHAnsi"/>
      <w:b w:val="0"/>
      <w:color w:val="2F5496" w:themeColor="accent1" w:themeShade="BF"/>
      <w:sz w:val="32"/>
      <w:lang w:eastAsia="hr-HR"/>
    </w:rPr>
  </w:style>
  <w:style w:type="paragraph" w:styleId="Sadraj1">
    <w:name w:val="toc 1"/>
    <w:basedOn w:val="Normal"/>
    <w:next w:val="Normal"/>
    <w:autoRedefine/>
    <w:uiPriority w:val="39"/>
    <w:unhideWhenUsed/>
    <w:rsid w:val="001E69DE"/>
    <w:pPr>
      <w:tabs>
        <w:tab w:val="left" w:pos="480"/>
        <w:tab w:val="right" w:leader="dot" w:pos="9737"/>
      </w:tabs>
      <w:spacing w:after="120" w:line="276" w:lineRule="auto"/>
    </w:pPr>
  </w:style>
  <w:style w:type="character" w:styleId="Hiperveza">
    <w:name w:val="Hyperlink"/>
    <w:basedOn w:val="Zadanifontodlomka"/>
    <w:uiPriority w:val="99"/>
    <w:unhideWhenUsed/>
    <w:rsid w:val="009007F4"/>
    <w:rPr>
      <w:color w:val="0563C1" w:themeColor="hyperlink"/>
      <w:u w:val="single"/>
    </w:rPr>
  </w:style>
  <w:style w:type="paragraph" w:styleId="Odlomakpopisa">
    <w:name w:val="List Paragraph"/>
    <w:aliases w:val="3,Akapit z listą BS,Bullet1,Bullets,Ha,Heading 11,IBL List Paragraph,L,List Paragraph (numbered (a)),List Paragraph 1,List Paragraph nowy,List Paragraph-ExecSummary,List_Paragraph,Liste 1,Multilevel para_II,ReferencesCxSpLast,l,lp1,본문(내용)"/>
    <w:basedOn w:val="Normal"/>
    <w:link w:val="OdlomakpopisaChar"/>
    <w:uiPriority w:val="34"/>
    <w:qFormat/>
    <w:rsid w:val="00547E97"/>
    <w:pPr>
      <w:ind w:left="720"/>
      <w:contextualSpacing/>
    </w:pPr>
  </w:style>
  <w:style w:type="paragraph" w:customStyle="1" w:styleId="Stavci">
    <w:name w:val="Stavci"/>
    <w:basedOn w:val="Normal"/>
    <w:link w:val="StavciChar"/>
    <w:qFormat/>
    <w:rsid w:val="00467261"/>
    <w:pPr>
      <w:numPr>
        <w:numId w:val="2"/>
      </w:numPr>
      <w:spacing w:before="120"/>
      <w:jc w:val="both"/>
    </w:pPr>
    <w:rPr>
      <w:rFonts w:ascii="Times New Roman" w:hAnsi="Times New Roman"/>
      <w:sz w:val="24"/>
      <w:szCs w:val="24"/>
    </w:rPr>
  </w:style>
  <w:style w:type="character" w:customStyle="1" w:styleId="StavciChar">
    <w:name w:val="Stavci Char"/>
    <w:link w:val="Stavci"/>
    <w:rsid w:val="00467261"/>
    <w:rPr>
      <w:rFonts w:ascii="Times New Roman" w:hAnsi="Times New Roman"/>
      <w:sz w:val="24"/>
      <w:szCs w:val="24"/>
      <w:lang w:eastAsia="en-US"/>
    </w:rPr>
  </w:style>
  <w:style w:type="paragraph" w:styleId="Tekstfusnote">
    <w:name w:val="footnote text"/>
    <w:basedOn w:val="Normal"/>
    <w:link w:val="TekstfusnoteChar"/>
    <w:uiPriority w:val="99"/>
    <w:rsid w:val="00883386"/>
    <w:pPr>
      <w:spacing w:line="276" w:lineRule="auto"/>
      <w:jc w:val="both"/>
    </w:pPr>
    <w:rPr>
      <w:rFonts w:eastAsia="Times New Roman" w:cs="Arial"/>
      <w:szCs w:val="20"/>
      <w:lang w:eastAsia="hr-HR"/>
    </w:rPr>
  </w:style>
  <w:style w:type="character" w:customStyle="1" w:styleId="TekstfusnoteChar">
    <w:name w:val="Tekst fusnote Char"/>
    <w:basedOn w:val="Zadanifontodlomka"/>
    <w:link w:val="Tekstfusnote"/>
    <w:uiPriority w:val="99"/>
    <w:rsid w:val="00883386"/>
    <w:rPr>
      <w:rFonts w:ascii="Arial" w:eastAsia="Times New Roman" w:hAnsi="Arial" w:cs="Arial"/>
    </w:rPr>
  </w:style>
  <w:style w:type="character" w:styleId="Referencafusnote">
    <w:name w:val="footnote reference"/>
    <w:aliases w:val="ftref,stylish,BVI fnr, BVI fnr, BVI fnr Car Car,BVI fnr Car, BVI fnr Car Car Car Car, BVI fnr Car Car Car Car Char,BVI fnr Car Car,BVI fnr Car Car Car Car,BVI fnr Car Car Car Car Char,BVI fnr Car Char1 Char,BVI fnr Car Car Char1 Char"/>
    <w:link w:val="Char2"/>
    <w:uiPriority w:val="99"/>
    <w:qFormat/>
    <w:rsid w:val="00883386"/>
    <w:rPr>
      <w:vertAlign w:val="superscript"/>
    </w:rPr>
  </w:style>
  <w:style w:type="character" w:customStyle="1" w:styleId="OdlomakpopisaChar">
    <w:name w:val="Odlomak popisa Char"/>
    <w:aliases w:val="3 Char,Akapit z listą BS Char,Bullet1 Char,Bullets Char,Ha Char,Heading 11 Char,IBL List Paragraph Char,L Char,List Paragraph (numbered (a)) Char,List Paragraph 1 Char,List Paragraph nowy Char,List Paragraph-ExecSummary Char,l Char"/>
    <w:link w:val="Odlomakpopisa"/>
    <w:uiPriority w:val="34"/>
    <w:qFormat/>
    <w:locked/>
    <w:rsid w:val="00883386"/>
    <w:rPr>
      <w:rFonts w:ascii="Arial" w:hAnsi="Arial"/>
      <w:szCs w:val="22"/>
      <w:lang w:eastAsia="en-US"/>
    </w:rPr>
  </w:style>
  <w:style w:type="character" w:customStyle="1" w:styleId="Naslov2Char">
    <w:name w:val="Naslov 2 Char"/>
    <w:basedOn w:val="Zadanifontodlomka"/>
    <w:link w:val="Naslov2"/>
    <w:uiPriority w:val="9"/>
    <w:semiHidden/>
    <w:rsid w:val="005468FA"/>
    <w:rPr>
      <w:rFonts w:ascii="Arial" w:eastAsiaTheme="majorEastAsia" w:hAnsi="Arial" w:cstheme="majorBidi"/>
      <w:b/>
      <w:szCs w:val="26"/>
      <w:lang w:eastAsia="en-US"/>
    </w:rPr>
  </w:style>
  <w:style w:type="character" w:styleId="Referencakomentara">
    <w:name w:val="annotation reference"/>
    <w:basedOn w:val="Zadanifontodlomka"/>
    <w:uiPriority w:val="99"/>
    <w:unhideWhenUsed/>
    <w:rsid w:val="00AB7E91"/>
    <w:rPr>
      <w:sz w:val="16"/>
      <w:szCs w:val="16"/>
    </w:rPr>
  </w:style>
  <w:style w:type="paragraph" w:styleId="Tekstkomentara">
    <w:name w:val="annotation text"/>
    <w:basedOn w:val="Normal"/>
    <w:link w:val="TekstkomentaraChar"/>
    <w:unhideWhenUsed/>
    <w:rsid w:val="00AB7E91"/>
    <w:rPr>
      <w:szCs w:val="20"/>
    </w:rPr>
  </w:style>
  <w:style w:type="character" w:customStyle="1" w:styleId="TekstkomentaraChar">
    <w:name w:val="Tekst komentara Char"/>
    <w:basedOn w:val="Zadanifontodlomka"/>
    <w:link w:val="Tekstkomentara"/>
    <w:rsid w:val="00AB7E91"/>
    <w:rPr>
      <w:rFonts w:ascii="Arial" w:hAnsi="Arial"/>
      <w:lang w:eastAsia="en-US"/>
    </w:rPr>
  </w:style>
  <w:style w:type="paragraph" w:styleId="Predmetkomentara">
    <w:name w:val="annotation subject"/>
    <w:basedOn w:val="Tekstkomentara"/>
    <w:next w:val="Tekstkomentara"/>
    <w:link w:val="PredmetkomentaraChar"/>
    <w:uiPriority w:val="99"/>
    <w:semiHidden/>
    <w:unhideWhenUsed/>
    <w:rsid w:val="00AB7E91"/>
    <w:rPr>
      <w:b/>
      <w:bCs/>
    </w:rPr>
  </w:style>
  <w:style w:type="character" w:customStyle="1" w:styleId="PredmetkomentaraChar">
    <w:name w:val="Predmet komentara Char"/>
    <w:basedOn w:val="TekstkomentaraChar"/>
    <w:link w:val="Predmetkomentara"/>
    <w:uiPriority w:val="99"/>
    <w:semiHidden/>
    <w:rsid w:val="00AB7E91"/>
    <w:rPr>
      <w:rFonts w:ascii="Arial" w:hAnsi="Arial"/>
      <w:b/>
      <w:bCs/>
      <w:lang w:eastAsia="en-US"/>
    </w:rPr>
  </w:style>
  <w:style w:type="character" w:styleId="Nerijeenospominjanje">
    <w:name w:val="Unresolved Mention"/>
    <w:basedOn w:val="Zadanifontodlomka"/>
    <w:uiPriority w:val="99"/>
    <w:semiHidden/>
    <w:unhideWhenUsed/>
    <w:rsid w:val="008E1432"/>
    <w:rPr>
      <w:color w:val="605E5C"/>
      <w:shd w:val="clear" w:color="auto" w:fill="E1DFDD"/>
    </w:rPr>
  </w:style>
  <w:style w:type="paragraph" w:styleId="Sadraj2">
    <w:name w:val="toc 2"/>
    <w:basedOn w:val="Normal"/>
    <w:next w:val="Normal"/>
    <w:autoRedefine/>
    <w:uiPriority w:val="39"/>
    <w:unhideWhenUsed/>
    <w:rsid w:val="009A212A"/>
    <w:pPr>
      <w:spacing w:after="100"/>
      <w:ind w:left="200"/>
    </w:pPr>
  </w:style>
  <w:style w:type="paragraph" w:customStyle="1" w:styleId="Char2">
    <w:name w:val="Char2"/>
    <w:basedOn w:val="Normal"/>
    <w:link w:val="Referencafusnote"/>
    <w:rsid w:val="007E54F8"/>
    <w:pPr>
      <w:spacing w:after="160" w:line="240" w:lineRule="exact"/>
    </w:pPr>
    <w:rPr>
      <w:rFonts w:ascii="Calibri" w:hAnsi="Calibri"/>
      <w:szCs w:val="20"/>
      <w:vertAlign w:val="superscript"/>
      <w:lang w:eastAsia="hr-HR"/>
    </w:rPr>
  </w:style>
  <w:style w:type="paragraph" w:styleId="Revizija">
    <w:name w:val="Revision"/>
    <w:hidden/>
    <w:uiPriority w:val="99"/>
    <w:semiHidden/>
    <w:rsid w:val="00C06A33"/>
    <w:rPr>
      <w:rFonts w:ascii="Arial" w:hAnsi="Arial"/>
      <w:szCs w:val="22"/>
      <w:lang w:eastAsia="en-US"/>
    </w:rPr>
  </w:style>
  <w:style w:type="character" w:styleId="SlijeenaHiperveza">
    <w:name w:val="FollowedHyperlink"/>
    <w:basedOn w:val="Zadanifontodlomka"/>
    <w:uiPriority w:val="99"/>
    <w:semiHidden/>
    <w:unhideWhenUsed/>
    <w:rsid w:val="001672DE"/>
    <w:rPr>
      <w:color w:val="954F72" w:themeColor="followedHyperlink"/>
      <w:u w:val="single"/>
    </w:rPr>
  </w:style>
  <w:style w:type="table" w:styleId="Tablicapopisa2-isticanje1">
    <w:name w:val="List Table 2 Accent 1"/>
    <w:basedOn w:val="Obinatablica"/>
    <w:uiPriority w:val="47"/>
    <w:rsid w:val="00DC4458"/>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Zadanifontodlomka"/>
    <w:rsid w:val="00C81BBE"/>
  </w:style>
  <w:style w:type="character" w:customStyle="1" w:styleId="eop">
    <w:name w:val="eop"/>
    <w:basedOn w:val="Zadanifontodlomka"/>
    <w:rsid w:val="00C81BBE"/>
  </w:style>
  <w:style w:type="character" w:styleId="Spominjanje">
    <w:name w:val="Mention"/>
    <w:basedOn w:val="Zadanifontodlomka"/>
    <w:uiPriority w:val="99"/>
    <w:unhideWhenUsed/>
    <w:rsid w:val="00634235"/>
    <w:rPr>
      <w:color w:val="2B579A"/>
      <w:shd w:val="clear" w:color="auto" w:fill="E1DFDD"/>
    </w:rPr>
  </w:style>
  <w:style w:type="character" w:customStyle="1" w:styleId="wacimagecontainer">
    <w:name w:val="wacimagecontainer"/>
    <w:basedOn w:val="Zadanifontodlomka"/>
    <w:rsid w:val="005708A2"/>
  </w:style>
  <w:style w:type="paragraph" w:customStyle="1" w:styleId="paragraph">
    <w:name w:val="paragraph"/>
    <w:basedOn w:val="Normal"/>
    <w:rsid w:val="00516DF0"/>
    <w:pPr>
      <w:spacing w:before="100" w:beforeAutospacing="1" w:after="100" w:afterAutospacing="1"/>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45576">
      <w:bodyDiv w:val="1"/>
      <w:marLeft w:val="0"/>
      <w:marRight w:val="0"/>
      <w:marTop w:val="0"/>
      <w:marBottom w:val="0"/>
      <w:divBdr>
        <w:top w:val="none" w:sz="0" w:space="0" w:color="auto"/>
        <w:left w:val="none" w:sz="0" w:space="0" w:color="auto"/>
        <w:bottom w:val="none" w:sz="0" w:space="0" w:color="auto"/>
        <w:right w:val="none" w:sz="0" w:space="0" w:color="auto"/>
      </w:divBdr>
    </w:div>
    <w:div w:id="682435166">
      <w:bodyDiv w:val="1"/>
      <w:marLeft w:val="0"/>
      <w:marRight w:val="0"/>
      <w:marTop w:val="0"/>
      <w:marBottom w:val="0"/>
      <w:divBdr>
        <w:top w:val="none" w:sz="0" w:space="0" w:color="auto"/>
        <w:left w:val="none" w:sz="0" w:space="0" w:color="auto"/>
        <w:bottom w:val="none" w:sz="0" w:space="0" w:color="auto"/>
        <w:right w:val="none" w:sz="0" w:space="0" w:color="auto"/>
      </w:divBdr>
    </w:div>
    <w:div w:id="99282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quity@hbor.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bor.hr/politika-ulaganja-u-vlasnicki-kapital-i-kvazi-vlasnicki-kapital" TargetMode="External"/><Relationship Id="rId2" Type="http://schemas.openxmlformats.org/officeDocument/2006/relationships/customXml" Target="../customXml/item2.xml"/><Relationship Id="rId16" Type="http://schemas.openxmlformats.org/officeDocument/2006/relationships/hyperlink" Target="https://www.hbor.hr/UserDocsImages/DIREKCIJA%20ULAGANJA/Op%C4%87i%20kriteriji%20prihvatljivosti%20(equity)%20-%20finalno.pdf?vel=19415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bor.h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HR/TXT/PDF/?uri=CELEX:32020R0852&amp;from=EN" TargetMode="External"/><Relationship Id="rId2" Type="http://schemas.openxmlformats.org/officeDocument/2006/relationships/hyperlink" Target="https://eur-lex.europa.eu/legal-content/HR/ALL/?uri=CELEX%3A32021R0523" TargetMode="External"/><Relationship Id="rId1" Type="http://schemas.openxmlformats.org/officeDocument/2006/relationships/hyperlink" Target="https://www.investeurope.eu/media/2784/invest-europe-research-methodology-and-definitions.xlsx" TargetMode="External"/><Relationship Id="rId6" Type="http://schemas.openxmlformats.org/officeDocument/2006/relationships/hyperlink" Target="https://www.hbor.hr/politika-ulaganja-u-vlasnicki-kapital-i-kvazi-vlasnicki-kapital" TargetMode="External"/><Relationship Id="rId5" Type="http://schemas.openxmlformats.org/officeDocument/2006/relationships/hyperlink" Target="https://www.hbor.hr/UserDocsImages/DIREKCIJA%20ULAGANJA/Op%C4%87i%20kriteriji%20prihvatljivosti%20(equity)%20-%20finalno.pdf?vel=194158" TargetMode="External"/><Relationship Id="rId4" Type="http://schemas.openxmlformats.org/officeDocument/2006/relationships/hyperlink" Target="https://www.investeurope.eu/media/2784/invest-europe-research-methodology-and-definitions.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1DDACA9C9E74CB7BD9DD2663C57CF" ma:contentTypeVersion="14" ma:contentTypeDescription="Create a new document." ma:contentTypeScope="" ma:versionID="267ed7c7d354421ca739616a04937d4d">
  <xsd:schema xmlns:xsd="http://www.w3.org/2001/XMLSchema" xmlns:xs="http://www.w3.org/2001/XMLSchema" xmlns:p="http://schemas.microsoft.com/office/2006/metadata/properties" xmlns:ns2="d823d896-2f23-474e-894b-529399b808bc" targetNamespace="http://schemas.microsoft.com/office/2006/metadata/properties" ma:root="true" ma:fieldsID="1975e3baf4e196186a971d27f7bf49c3" ns2:_="">
    <xsd:import namespace="d823d896-2f23-474e-894b-529399b808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3d896-2f23-474e-894b-529399b80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17E17-74B8-44D0-9157-E0858F023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3d896-2f23-474e-894b-529399b80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8EB33-4871-4F59-9EA8-5E6F5D783280}">
  <ds:schemaRefs>
    <ds:schemaRef ds:uri="http://schemas.microsoft.com/sharepoint/v3/contenttype/forms"/>
  </ds:schemaRefs>
</ds:datastoreItem>
</file>

<file path=customXml/itemProps3.xml><?xml version="1.0" encoding="utf-8"?>
<ds:datastoreItem xmlns:ds="http://schemas.openxmlformats.org/officeDocument/2006/customXml" ds:itemID="{CDC5969C-DEE7-4A4D-9A37-99813987265A}">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d823d896-2f23-474e-894b-529399b808bc"/>
  </ds:schemaRefs>
</ds:datastoreItem>
</file>

<file path=customXml/itemProps4.xml><?xml version="1.0" encoding="utf-8"?>
<ds:datastoreItem xmlns:ds="http://schemas.openxmlformats.org/officeDocument/2006/customXml" ds:itemID="{0FB929E3-F022-4342-8E01-517E9BB6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8</Pages>
  <Words>2227</Words>
  <Characters>12694</Characters>
  <Application>Microsoft Office Word</Application>
  <DocSecurity>0</DocSecurity>
  <Lines>105</Lines>
  <Paragraphs>29</Paragraphs>
  <ScaleCrop>false</ScaleCrop>
  <Company/>
  <LinksUpToDate>false</LinksUpToDate>
  <CharactersWithSpaces>14892</CharactersWithSpaces>
  <SharedDoc>false</SharedDoc>
  <HLinks>
    <vt:vector size="126" baseType="variant">
      <vt:variant>
        <vt:i4>7340072</vt:i4>
      </vt:variant>
      <vt:variant>
        <vt:i4>81</vt:i4>
      </vt:variant>
      <vt:variant>
        <vt:i4>0</vt:i4>
      </vt:variant>
      <vt:variant>
        <vt:i4>5</vt:i4>
      </vt:variant>
      <vt:variant>
        <vt:lpwstr>http://www.hbor.hr/</vt:lpwstr>
      </vt:variant>
      <vt:variant>
        <vt:lpwstr/>
      </vt:variant>
      <vt:variant>
        <vt:i4>4063234</vt:i4>
      </vt:variant>
      <vt:variant>
        <vt:i4>72</vt:i4>
      </vt:variant>
      <vt:variant>
        <vt:i4>0</vt:i4>
      </vt:variant>
      <vt:variant>
        <vt:i4>5</vt:i4>
      </vt:variant>
      <vt:variant>
        <vt:lpwstr>mailto:equity@hbor.hr</vt:lpwstr>
      </vt:variant>
      <vt:variant>
        <vt:lpwstr/>
      </vt:variant>
      <vt:variant>
        <vt:i4>3080226</vt:i4>
      </vt:variant>
      <vt:variant>
        <vt:i4>69</vt:i4>
      </vt:variant>
      <vt:variant>
        <vt:i4>0</vt:i4>
      </vt:variant>
      <vt:variant>
        <vt:i4>5</vt:i4>
      </vt:variant>
      <vt:variant>
        <vt:lpwstr>https://www.hbor.hr/politika-ulaganja-u-vlasnicki-kapital-i-kvazi-vlasnicki-kapital</vt:lpwstr>
      </vt:variant>
      <vt:variant>
        <vt:lpwstr/>
      </vt:variant>
      <vt:variant>
        <vt:i4>3342384</vt:i4>
      </vt:variant>
      <vt:variant>
        <vt:i4>66</vt:i4>
      </vt:variant>
      <vt:variant>
        <vt:i4>0</vt:i4>
      </vt:variant>
      <vt:variant>
        <vt:i4>5</vt:i4>
      </vt:variant>
      <vt:variant>
        <vt:lpwstr>https://www.hbor.hr/UserDocsImages/DIREKCIJA ULAGANJA/Op%C4%87i kriteriji prihvatljivosti (equity) - finalno.pdf?vel=194158</vt:lpwstr>
      </vt:variant>
      <vt:variant>
        <vt:lpwstr/>
      </vt:variant>
      <vt:variant>
        <vt:i4>7340072</vt:i4>
      </vt:variant>
      <vt:variant>
        <vt:i4>63</vt:i4>
      </vt:variant>
      <vt:variant>
        <vt:i4>0</vt:i4>
      </vt:variant>
      <vt:variant>
        <vt:i4>5</vt:i4>
      </vt:variant>
      <vt:variant>
        <vt:lpwstr>http://www.hbor.hr/</vt:lpwstr>
      </vt:variant>
      <vt:variant>
        <vt:lpwstr/>
      </vt:variant>
      <vt:variant>
        <vt:i4>2031668</vt:i4>
      </vt:variant>
      <vt:variant>
        <vt:i4>56</vt:i4>
      </vt:variant>
      <vt:variant>
        <vt:i4>0</vt:i4>
      </vt:variant>
      <vt:variant>
        <vt:i4>5</vt:i4>
      </vt:variant>
      <vt:variant>
        <vt:lpwstr/>
      </vt:variant>
      <vt:variant>
        <vt:lpwstr>_Toc193374169</vt:lpwstr>
      </vt:variant>
      <vt:variant>
        <vt:i4>2031668</vt:i4>
      </vt:variant>
      <vt:variant>
        <vt:i4>50</vt:i4>
      </vt:variant>
      <vt:variant>
        <vt:i4>0</vt:i4>
      </vt:variant>
      <vt:variant>
        <vt:i4>5</vt:i4>
      </vt:variant>
      <vt:variant>
        <vt:lpwstr/>
      </vt:variant>
      <vt:variant>
        <vt:lpwstr>_Toc193374168</vt:lpwstr>
      </vt:variant>
      <vt:variant>
        <vt:i4>2031668</vt:i4>
      </vt:variant>
      <vt:variant>
        <vt:i4>44</vt:i4>
      </vt:variant>
      <vt:variant>
        <vt:i4>0</vt:i4>
      </vt:variant>
      <vt:variant>
        <vt:i4>5</vt:i4>
      </vt:variant>
      <vt:variant>
        <vt:lpwstr/>
      </vt:variant>
      <vt:variant>
        <vt:lpwstr>_Toc193374167</vt:lpwstr>
      </vt:variant>
      <vt:variant>
        <vt:i4>2031668</vt:i4>
      </vt:variant>
      <vt:variant>
        <vt:i4>38</vt:i4>
      </vt:variant>
      <vt:variant>
        <vt:i4>0</vt:i4>
      </vt:variant>
      <vt:variant>
        <vt:i4>5</vt:i4>
      </vt:variant>
      <vt:variant>
        <vt:lpwstr/>
      </vt:variant>
      <vt:variant>
        <vt:lpwstr>_Toc193374166</vt:lpwstr>
      </vt:variant>
      <vt:variant>
        <vt:i4>2031668</vt:i4>
      </vt:variant>
      <vt:variant>
        <vt:i4>32</vt:i4>
      </vt:variant>
      <vt:variant>
        <vt:i4>0</vt:i4>
      </vt:variant>
      <vt:variant>
        <vt:i4>5</vt:i4>
      </vt:variant>
      <vt:variant>
        <vt:lpwstr/>
      </vt:variant>
      <vt:variant>
        <vt:lpwstr>_Toc193374165</vt:lpwstr>
      </vt:variant>
      <vt:variant>
        <vt:i4>2031668</vt:i4>
      </vt:variant>
      <vt:variant>
        <vt:i4>26</vt:i4>
      </vt:variant>
      <vt:variant>
        <vt:i4>0</vt:i4>
      </vt:variant>
      <vt:variant>
        <vt:i4>5</vt:i4>
      </vt:variant>
      <vt:variant>
        <vt:lpwstr/>
      </vt:variant>
      <vt:variant>
        <vt:lpwstr>_Toc193374164</vt:lpwstr>
      </vt:variant>
      <vt:variant>
        <vt:i4>2031668</vt:i4>
      </vt:variant>
      <vt:variant>
        <vt:i4>20</vt:i4>
      </vt:variant>
      <vt:variant>
        <vt:i4>0</vt:i4>
      </vt:variant>
      <vt:variant>
        <vt:i4>5</vt:i4>
      </vt:variant>
      <vt:variant>
        <vt:lpwstr/>
      </vt:variant>
      <vt:variant>
        <vt:lpwstr>_Toc193374163</vt:lpwstr>
      </vt:variant>
      <vt:variant>
        <vt:i4>2031668</vt:i4>
      </vt:variant>
      <vt:variant>
        <vt:i4>14</vt:i4>
      </vt:variant>
      <vt:variant>
        <vt:i4>0</vt:i4>
      </vt:variant>
      <vt:variant>
        <vt:i4>5</vt:i4>
      </vt:variant>
      <vt:variant>
        <vt:lpwstr/>
      </vt:variant>
      <vt:variant>
        <vt:lpwstr>_Toc193374162</vt:lpwstr>
      </vt:variant>
      <vt:variant>
        <vt:i4>2031668</vt:i4>
      </vt:variant>
      <vt:variant>
        <vt:i4>8</vt:i4>
      </vt:variant>
      <vt:variant>
        <vt:i4>0</vt:i4>
      </vt:variant>
      <vt:variant>
        <vt:i4>5</vt:i4>
      </vt:variant>
      <vt:variant>
        <vt:lpwstr/>
      </vt:variant>
      <vt:variant>
        <vt:lpwstr>_Toc193374161</vt:lpwstr>
      </vt:variant>
      <vt:variant>
        <vt:i4>2031668</vt:i4>
      </vt:variant>
      <vt:variant>
        <vt:i4>2</vt:i4>
      </vt:variant>
      <vt:variant>
        <vt:i4>0</vt:i4>
      </vt:variant>
      <vt:variant>
        <vt:i4>5</vt:i4>
      </vt:variant>
      <vt:variant>
        <vt:lpwstr/>
      </vt:variant>
      <vt:variant>
        <vt:lpwstr>_Toc193374160</vt:lpwstr>
      </vt:variant>
      <vt:variant>
        <vt:i4>3080226</vt:i4>
      </vt:variant>
      <vt:variant>
        <vt:i4>15</vt:i4>
      </vt:variant>
      <vt:variant>
        <vt:i4>0</vt:i4>
      </vt:variant>
      <vt:variant>
        <vt:i4>5</vt:i4>
      </vt:variant>
      <vt:variant>
        <vt:lpwstr>https://www.hbor.hr/politika-ulaganja-u-vlasnicki-kapital-i-kvazi-vlasnicki-kapital</vt:lpwstr>
      </vt:variant>
      <vt:variant>
        <vt:lpwstr/>
      </vt:variant>
      <vt:variant>
        <vt:i4>3342384</vt:i4>
      </vt:variant>
      <vt:variant>
        <vt:i4>12</vt:i4>
      </vt:variant>
      <vt:variant>
        <vt:i4>0</vt:i4>
      </vt:variant>
      <vt:variant>
        <vt:i4>5</vt:i4>
      </vt:variant>
      <vt:variant>
        <vt:lpwstr>https://www.hbor.hr/UserDocsImages/DIREKCIJA ULAGANJA/Op%C4%87i kriteriji prihvatljivosti (equity) - finalno.pdf?vel=194158</vt:lpwstr>
      </vt:variant>
      <vt:variant>
        <vt:lpwstr/>
      </vt:variant>
      <vt:variant>
        <vt:i4>6684791</vt:i4>
      </vt:variant>
      <vt:variant>
        <vt:i4>9</vt:i4>
      </vt:variant>
      <vt:variant>
        <vt:i4>0</vt:i4>
      </vt:variant>
      <vt:variant>
        <vt:i4>5</vt:i4>
      </vt:variant>
      <vt:variant>
        <vt:lpwstr>https://www.investeurope.eu/media/2784/invest-europe-research-methodology-and-definitions.xlsx</vt:lpwstr>
      </vt:variant>
      <vt:variant>
        <vt:lpwstr/>
      </vt:variant>
      <vt:variant>
        <vt:i4>4980830</vt:i4>
      </vt:variant>
      <vt:variant>
        <vt:i4>6</vt:i4>
      </vt:variant>
      <vt:variant>
        <vt:i4>0</vt:i4>
      </vt:variant>
      <vt:variant>
        <vt:i4>5</vt:i4>
      </vt:variant>
      <vt:variant>
        <vt:lpwstr>https://eur-lex.europa.eu/legal-content/HR/TXT/PDF/?uri=CELEX:32020R0852&amp;from=EN</vt:lpwstr>
      </vt:variant>
      <vt:variant>
        <vt:lpwstr/>
      </vt:variant>
      <vt:variant>
        <vt:i4>8323176</vt:i4>
      </vt:variant>
      <vt:variant>
        <vt:i4>3</vt:i4>
      </vt:variant>
      <vt:variant>
        <vt:i4>0</vt:i4>
      </vt:variant>
      <vt:variant>
        <vt:i4>5</vt:i4>
      </vt:variant>
      <vt:variant>
        <vt:lpwstr>https://eur-lex.europa.eu/legal-content/HR/ALL/?uri=CELEX%3A32021R0523</vt:lpwstr>
      </vt:variant>
      <vt:variant>
        <vt:lpwstr/>
      </vt:variant>
      <vt:variant>
        <vt:i4>6684791</vt:i4>
      </vt:variant>
      <vt:variant>
        <vt:i4>0</vt:i4>
      </vt:variant>
      <vt:variant>
        <vt:i4>0</vt:i4>
      </vt:variant>
      <vt:variant>
        <vt:i4>5</vt:i4>
      </vt:variant>
      <vt:variant>
        <vt:lpwstr>https://www.investeurope.eu/media/2784/invest-europe-research-methodology-and-definitions.xlsx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iva.sunjic</dc:creator>
  <cp:keywords/>
  <cp:lastModifiedBy>Kopljar Jelena</cp:lastModifiedBy>
  <cp:revision>1523</cp:revision>
  <dcterms:created xsi:type="dcterms:W3CDTF">2024-11-16T04:23:00Z</dcterms:created>
  <dcterms:modified xsi:type="dcterms:W3CDTF">2025-03-21T13:14:00Z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0x010100E9B1DDACA9C9E74CB7BD9DD2663C57CF</vt:lpwstr>
  </property>
</Properties>
</file>